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楷体_GB2312" w:cs="Times New Roman"/>
          <w:spacing w:val="0"/>
          <w:sz w:val="24"/>
        </w:rPr>
      </w:pPr>
      <w:r>
        <w:rPr>
          <w:rFonts w:hint="default" w:ascii="Times New Roman" w:hAnsi="Times New Roman" w:eastAsia="文鼎小标宋简" w:cs="Times New Roman"/>
          <w:spacing w:val="0"/>
          <w:sz w:val="36"/>
          <w:szCs w:val="36"/>
        </w:rPr>
        <w:t>广东省固体废物环境管理专家库专家</w:t>
      </w:r>
      <w:r>
        <w:rPr>
          <w:rFonts w:hint="default" w:ascii="Times New Roman" w:hAnsi="Times New Roman" w:eastAsia="文鼎小标宋简" w:cs="Times New Roman"/>
          <w:spacing w:val="0"/>
          <w:sz w:val="36"/>
          <w:szCs w:val="36"/>
          <w:lang w:val="en-US" w:eastAsia="zh-CN"/>
        </w:rPr>
        <w:t>申请表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78"/>
        <w:gridCol w:w="14"/>
        <w:gridCol w:w="1204"/>
        <w:gridCol w:w="1218"/>
        <w:gridCol w:w="1218"/>
        <w:gridCol w:w="1218"/>
        <w:gridCol w:w="1219"/>
        <w:gridCol w:w="187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4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性  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1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学  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职  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1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工作单位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单位性质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身份证号码</w:t>
            </w:r>
          </w:p>
        </w:tc>
        <w:tc>
          <w:tcPr>
            <w:tcW w:w="6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3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毕业院校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所学专业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3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银行卡号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开户行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3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电子邮箱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3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通讯地址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2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主要工作简历与参与固体废物环境管理工作情况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15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与固体废物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污染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防治有关的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业绩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成果（近3年）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（包括相关的学术论著、论文、主持或参与的相关研究项目、参加的相关学术活动及获奖情况等）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62" w:hRule="atLeas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最擅长的固体废物相关专业领域（在方框内勾选，建议最多选3项）</w:t>
            </w:r>
          </w:p>
        </w:tc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794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9"/>
              <w:gridCol w:w="31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含铜蚀刻废液综合利用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</w:tc>
              <w:tc>
                <w:tcPr>
                  <w:tcW w:w="3122" w:type="dxa"/>
                  <w:vMerge w:val="restart"/>
                </w:tcPr>
                <w:tbl>
                  <w:tblPr>
                    <w:tblStyle w:val="2"/>
                    <w:tblW w:w="312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120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危险废物综合管理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环境影响评价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环境监测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污染场地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等离子利用处置技术□；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大气污染防治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水污染防治□；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噪声污染防治□；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重金属污染防治□；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清洁生产□；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生活垃圾处置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进口废物利用□；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安全管理□；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含铅废物综合利用□；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危险化学品利用处置□；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实验室废物利用处置□；</w:t>
                        </w:r>
                      </w:p>
                      <w:p>
                        <w:pPr>
                          <w:spacing w:line="300" w:lineRule="exact"/>
                          <w:textAlignment w:val="baseline"/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一般工业固体废物利用处置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  <w:lang w:eastAsia="zh-CN"/>
                          </w:rPr>
                          <w:t>□</w:t>
                        </w:r>
                        <w:r>
                          <w:rPr>
                            <w:rFonts w:hint="default" w:ascii="Times New Roman" w:hAnsi="Times New Roman" w:eastAsia="楷体_GB2312" w:cs="Times New Roman"/>
                            <w:szCs w:val="21"/>
                          </w:rPr>
                          <w:t>；</w:t>
                        </w:r>
                      </w:p>
                    </w:tc>
                  </w:tr>
                </w:tbl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危险废物焚烧处置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危险废物填埋处置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重金属污泥火法冶炼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重金属污泥湿法冶炼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水泥窑协同处置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工业废液处置□；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废包装桶清洗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废有机溶剂综合利用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废矿物油综合利用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废催化剂综合利用处置□；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废线路板（含边角料）、电路板综合利用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感光材料废物利用处置□；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含氰废物利用处置□；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含锌废物利用处置□；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废活性炭再生利用处置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；</w:t>
                  </w:r>
                </w:p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电子废物综合利用处置□；</w:t>
                  </w:r>
                </w:p>
              </w:tc>
              <w:tc>
                <w:tcPr>
                  <w:tcW w:w="3122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02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擅长领域的具体专业技术方向（以危险废物为例，在方框内勾选，可多选3项）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请说明擅长领域的具体专业技术方向（下表以危险废物为例列出了具体处置方式，供参考）</w:t>
            </w: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tbl>
            <w:tblPr>
              <w:tblStyle w:val="2"/>
              <w:tblW w:w="79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12"/>
              <w:gridCol w:w="39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R1作为燃料（直接燃烧除外）或以其他方式产生能量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D9物理化学处理（如蒸发，干燥、中和、沉淀等），不包括填埋或焚烧前的预处理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R2溶剂回收/再生（如蒸馏、萃取等）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D10焚烧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R3再循环/再利用不是用作溶剂的有机物□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D16其他□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R4再循环/再利用金属和金属化合物□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C1水泥窑共处置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R5再循环/再利用其他无机物□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C2生产建筑材料□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R6再生酸或碱□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C3清洗（包装容器）□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R7回收污染减除剂的组分□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Y10医疗废物焚烧□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R8回收催化剂组分□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Y11医疗废物高温蒸汽处理□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R9废油再提炼或其他废油的再利用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Y12医疗废物化学消毒处理□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R15其他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Y13医疗废物微波消毒处理□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D1填埋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Y16医疗废物其他处置方式□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2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 xml:space="preserve">危险废物收集、贮存管理□；    </w:t>
                  </w:r>
                </w:p>
              </w:tc>
              <w:tc>
                <w:tcPr>
                  <w:tcW w:w="3929" w:type="dxa"/>
                </w:tcPr>
                <w:p>
                  <w:pPr>
                    <w:spacing w:line="300" w:lineRule="exact"/>
                    <w:textAlignment w:val="baseline"/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szCs w:val="21"/>
                    </w:rPr>
                    <w:t>一般工业固体废物利用处置</w:t>
                  </w:r>
                  <w:r>
                    <w:rPr>
                      <w:rFonts w:hint="default" w:ascii="Times New Roman" w:hAnsi="Times New Roman" w:eastAsia="楷体_GB2312" w:cs="Times New Roman"/>
                      <w:szCs w:val="21"/>
                      <w:lang w:eastAsia="zh-CN"/>
                    </w:rPr>
                    <w:t>□</w:t>
                  </w:r>
                </w:p>
              </w:tc>
            </w:tr>
          </w:tbl>
          <w:p>
            <w:pPr>
              <w:spacing w:line="300" w:lineRule="exac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428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专家个人意见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本人自愿申请进入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>固体废物环境管理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专家库，并承诺填报的上述全部内容真实有效，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如有不实，愿承担相应责任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。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</w:pPr>
            <w:r>
              <w:rPr>
                <w:rFonts w:hint="eastAsia" w:eastAsia="楷体_GB2312" w:cs="Times New Roman"/>
                <w:szCs w:val="21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专家</w:t>
            </w:r>
            <w:r>
              <w:rPr>
                <w:rFonts w:hint="eastAsia" w:eastAsia="楷体_GB2312" w:cs="Times New Roman"/>
                <w:szCs w:val="21"/>
                <w:lang w:eastAsia="zh-CN"/>
              </w:rPr>
              <w:t>：（</w:t>
            </w:r>
            <w:r>
              <w:rPr>
                <w:rFonts w:hint="eastAsia" w:eastAsia="楷体_GB2312" w:cs="Times New Roman"/>
                <w:szCs w:val="21"/>
                <w:lang w:val="en-US" w:eastAsia="zh-CN"/>
              </w:rPr>
              <w:t>签名</w:t>
            </w:r>
            <w:r>
              <w:rPr>
                <w:rFonts w:hint="eastAsia" w:eastAsia="楷体_GB2312" w:cs="Times New Roman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314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单位意见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eastAsia" w:eastAsia="楷体_GB2312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</w:t>
            </w:r>
            <w:r>
              <w:rPr>
                <w:rFonts w:hint="eastAsia" w:eastAsia="楷体_GB2312" w:cs="Times New Roman"/>
                <w:szCs w:val="21"/>
                <w:lang w:val="en-US" w:eastAsia="zh-CN"/>
              </w:rPr>
              <w:t>单位名称：（加盖公章）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DA2YzYzNjU4OTQzNjE0OGExMzQwNzE4ZDE5M2IifQ=="/>
  </w:docVars>
  <w:rsids>
    <w:rsidRoot w:val="179752C7"/>
    <w:rsid w:val="001B2274"/>
    <w:rsid w:val="00223854"/>
    <w:rsid w:val="00394086"/>
    <w:rsid w:val="00833EAA"/>
    <w:rsid w:val="009D684D"/>
    <w:rsid w:val="00C406EC"/>
    <w:rsid w:val="018D62E2"/>
    <w:rsid w:val="1366774A"/>
    <w:rsid w:val="163416BD"/>
    <w:rsid w:val="179752C7"/>
    <w:rsid w:val="20DA77B9"/>
    <w:rsid w:val="234A05BF"/>
    <w:rsid w:val="26475084"/>
    <w:rsid w:val="42F62D40"/>
    <w:rsid w:val="4E642885"/>
    <w:rsid w:val="50AB13A9"/>
    <w:rsid w:val="697F6298"/>
    <w:rsid w:val="6C885039"/>
    <w:rsid w:val="754C29EA"/>
    <w:rsid w:val="7A2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930</Words>
  <Characters>421</Characters>
  <Lines>3</Lines>
  <Paragraphs>2</Paragraphs>
  <TotalTime>0</TotalTime>
  <ScaleCrop>false</ScaleCrop>
  <LinksUpToDate>false</LinksUpToDate>
  <CharactersWithSpaces>1349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2021-03-10T01:19:00Z</dcterms:created>
  <dc:creator>Beyonce</dc:creator>
  <cp:lastModifiedBy>QIQIUHONG</cp:lastModifiedBy>
  <dcterms:modified xsi:type="dcterms:W3CDTF">2023-09-12T08:08:47Z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AA51F1E175F844BF980207EC2BFFF70C_12</vt:lpwstr>
  </property>
</Properties>
</file>