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30CC6">
      <w:pPr>
        <w:bidi w:val="0"/>
        <w:rPr>
          <w:rFonts w:hint="eastAsia" w:ascii="黑体" w:hAnsi="黑体" w:eastAsia="黑体" w:cs="黑体"/>
          <w:sz w:val="32"/>
          <w:szCs w:val="32"/>
        </w:rPr>
      </w:pPr>
      <w:r>
        <w:rPr>
          <w:rFonts w:hint="eastAsia" w:ascii="黑体" w:hAnsi="黑体" w:eastAsia="黑体" w:cs="黑体"/>
          <w:sz w:val="32"/>
          <w:szCs w:val="32"/>
        </w:rPr>
        <w:t>附件1</w:t>
      </w:r>
    </w:p>
    <w:p w14:paraId="1D8A6E01">
      <w:pPr>
        <w:autoSpaceDE w:val="0"/>
        <w:autoSpaceDN w:val="0"/>
        <w:adjustRightInd w:val="0"/>
        <w:snapToGrid w:val="0"/>
        <w:jc w:val="center"/>
        <w:rPr>
          <w:rFonts w:hint="eastAsia" w:ascii="方正小标宋_GBK" w:eastAsia="方正小标宋_GBK"/>
          <w:bCs/>
          <w:kern w:val="0"/>
          <w:sz w:val="38"/>
          <w:szCs w:val="38"/>
        </w:rPr>
      </w:pPr>
      <w:r>
        <w:rPr>
          <w:rFonts w:hint="eastAsia" w:ascii="方正小标宋_GBK" w:eastAsia="方正小标宋_GBK"/>
          <w:bCs/>
          <w:kern w:val="0"/>
          <w:sz w:val="38"/>
          <w:szCs w:val="38"/>
        </w:rPr>
        <w:t xml:space="preserve">表1  </w:t>
      </w:r>
      <w:r>
        <w:rPr>
          <w:rFonts w:hint="eastAsia" w:ascii="方正小标宋_GBK" w:eastAsia="方正小标宋_GBK"/>
          <w:bCs/>
          <w:kern w:val="0"/>
          <w:sz w:val="38"/>
          <w:szCs w:val="38"/>
          <w:lang w:eastAsia="zh-CN"/>
        </w:rPr>
        <w:t>广东省</w:t>
      </w:r>
      <w:r>
        <w:rPr>
          <w:rFonts w:hint="eastAsia" w:ascii="方正小标宋_GBK" w:eastAsia="方正小标宋_GBK"/>
          <w:bCs/>
          <w:kern w:val="0"/>
          <w:sz w:val="38"/>
          <w:szCs w:val="38"/>
        </w:rPr>
        <w:t>危险废物规范化环境管理评估指标</w:t>
      </w:r>
    </w:p>
    <w:tbl>
      <w:tblPr>
        <w:tblStyle w:val="5"/>
        <w:tblW w:w="145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117"/>
        <w:gridCol w:w="1144"/>
        <w:gridCol w:w="709"/>
        <w:gridCol w:w="2268"/>
        <w:gridCol w:w="7992"/>
        <w:gridCol w:w="1325"/>
      </w:tblGrid>
      <w:tr w14:paraId="2F89B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blHeader/>
        </w:trPr>
        <w:tc>
          <w:tcPr>
            <w:tcW w:w="1117" w:type="dxa"/>
            <w:noWrap w:val="0"/>
            <w:vAlign w:val="center"/>
          </w:tcPr>
          <w:p w14:paraId="47EF45E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评估项目</w:t>
            </w:r>
          </w:p>
        </w:tc>
        <w:tc>
          <w:tcPr>
            <w:tcW w:w="1144" w:type="dxa"/>
            <w:noWrap w:val="0"/>
            <w:vAlign w:val="center"/>
          </w:tcPr>
          <w:p w14:paraId="57AA8C36">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评估主要</w:t>
            </w:r>
          </w:p>
          <w:p w14:paraId="5076E03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内容</w:t>
            </w:r>
          </w:p>
        </w:tc>
        <w:tc>
          <w:tcPr>
            <w:tcW w:w="709" w:type="dxa"/>
            <w:noWrap w:val="0"/>
            <w:vAlign w:val="center"/>
          </w:tcPr>
          <w:p w14:paraId="059D275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分值</w:t>
            </w:r>
          </w:p>
        </w:tc>
        <w:tc>
          <w:tcPr>
            <w:tcW w:w="2268" w:type="dxa"/>
            <w:noWrap w:val="0"/>
            <w:vAlign w:val="center"/>
          </w:tcPr>
          <w:p w14:paraId="60C712A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评估标准</w:t>
            </w:r>
          </w:p>
        </w:tc>
        <w:tc>
          <w:tcPr>
            <w:tcW w:w="7992" w:type="dxa"/>
            <w:noWrap w:val="0"/>
            <w:vAlign w:val="center"/>
          </w:tcPr>
          <w:p w14:paraId="09B122A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   分   要   点</w:t>
            </w:r>
          </w:p>
        </w:tc>
        <w:tc>
          <w:tcPr>
            <w:tcW w:w="1325" w:type="dxa"/>
            <w:noWrap w:val="0"/>
            <w:vAlign w:val="center"/>
          </w:tcPr>
          <w:p w14:paraId="37D1ED2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评估方法</w:t>
            </w:r>
          </w:p>
        </w:tc>
      </w:tr>
      <w:tr w14:paraId="42AF8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restart"/>
            <w:noWrap w:val="0"/>
            <w:vAlign w:val="center"/>
          </w:tcPr>
          <w:p w14:paraId="21DDD60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部门</w:t>
            </w:r>
          </w:p>
          <w:p w14:paraId="16864B5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监管工作</w:t>
            </w:r>
          </w:p>
        </w:tc>
        <w:tc>
          <w:tcPr>
            <w:tcW w:w="1144" w:type="dxa"/>
            <w:vMerge w:val="restart"/>
            <w:noWrap w:val="0"/>
            <w:vAlign w:val="center"/>
          </w:tcPr>
          <w:p w14:paraId="5E9F3E7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工作组织</w:t>
            </w:r>
          </w:p>
          <w:p w14:paraId="1513AA86">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实施情况</w:t>
            </w:r>
          </w:p>
        </w:tc>
        <w:tc>
          <w:tcPr>
            <w:tcW w:w="709" w:type="dxa"/>
            <w:vMerge w:val="restart"/>
            <w:noWrap w:val="0"/>
            <w:vAlign w:val="center"/>
          </w:tcPr>
          <w:p w14:paraId="20F92E2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lang w:eastAsia="zh-CN"/>
              </w:rPr>
            </w:pPr>
            <w:r>
              <w:rPr>
                <w:rFonts w:hint="default" w:ascii="Times New Roman" w:hAnsi="Times New Roman" w:eastAsia="楷体_GB2312" w:cs="Times New Roman"/>
                <w:spacing w:val="-4"/>
                <w:kern w:val="0"/>
                <w:sz w:val="24"/>
                <w:szCs w:val="24"/>
              </w:rPr>
              <w:t>1</w:t>
            </w:r>
            <w:r>
              <w:rPr>
                <w:rFonts w:hint="default" w:ascii="Times New Roman" w:hAnsi="Times New Roman" w:eastAsia="楷体_GB2312" w:cs="Times New Roman"/>
                <w:spacing w:val="-4"/>
                <w:kern w:val="0"/>
                <w:sz w:val="24"/>
                <w:szCs w:val="24"/>
                <w:lang w:val="en-US" w:eastAsia="zh-CN"/>
              </w:rPr>
              <w:t>0</w:t>
            </w:r>
          </w:p>
        </w:tc>
        <w:tc>
          <w:tcPr>
            <w:tcW w:w="2268" w:type="dxa"/>
            <w:noWrap w:val="0"/>
            <w:vAlign w:val="center"/>
          </w:tcPr>
          <w:p w14:paraId="5E2B7CAB">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评估机制建立情况。</w:t>
            </w:r>
          </w:p>
          <w:p w14:paraId="532E18D4">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（2分）</w:t>
            </w:r>
          </w:p>
        </w:tc>
        <w:tc>
          <w:tcPr>
            <w:tcW w:w="7992" w:type="dxa"/>
            <w:noWrap w:val="0"/>
            <w:vAlign w:val="center"/>
          </w:tcPr>
          <w:p w14:paraId="5F4877E0">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1.制定了年度评估工作方案，且明确实施评估工作的责任单位和岗位职责、突出评估重点的，得2分。</w:t>
            </w:r>
          </w:p>
          <w:p w14:paraId="6101B190">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2.制定了年度评估工作方案，但未明确实施评估工作的责任单位和岗位职责、突出评估重点的，得1分。</w:t>
            </w:r>
          </w:p>
          <w:p w14:paraId="72CED73D">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3.未制定年度评估工作方案的，得0分。</w:t>
            </w:r>
          </w:p>
        </w:tc>
        <w:tc>
          <w:tcPr>
            <w:tcW w:w="1325" w:type="dxa"/>
            <w:vMerge w:val="restart"/>
            <w:noWrap w:val="0"/>
            <w:vAlign w:val="center"/>
          </w:tcPr>
          <w:p w14:paraId="7EFAC41F">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查阅相关资料（方案、评估企业清单、工作小结、总结）</w:t>
            </w:r>
          </w:p>
        </w:tc>
      </w:tr>
      <w:tr w14:paraId="11C6A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noWrap w:val="0"/>
            <w:vAlign w:val="center"/>
          </w:tcPr>
          <w:p w14:paraId="000698B6">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1144" w:type="dxa"/>
            <w:vMerge w:val="continue"/>
            <w:noWrap w:val="0"/>
            <w:vAlign w:val="center"/>
          </w:tcPr>
          <w:p w14:paraId="6743E8F7">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709" w:type="dxa"/>
            <w:vMerge w:val="continue"/>
            <w:noWrap w:val="0"/>
            <w:vAlign w:val="center"/>
          </w:tcPr>
          <w:p w14:paraId="5CFEA23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2268" w:type="dxa"/>
            <w:noWrap w:val="0"/>
            <w:vAlign w:val="center"/>
          </w:tcPr>
          <w:p w14:paraId="5343699E">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评估企业数量和质量达到要求。（3分）</w:t>
            </w:r>
          </w:p>
        </w:tc>
        <w:tc>
          <w:tcPr>
            <w:tcW w:w="7992" w:type="dxa"/>
            <w:noWrap w:val="0"/>
            <w:vAlign w:val="center"/>
          </w:tcPr>
          <w:p w14:paraId="46DDF7F2">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A.按要求建立危险废物环境重点监管单位清单，评估企业数量符合方案要求。</w:t>
            </w:r>
          </w:p>
          <w:p w14:paraId="2D2BC2CF">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B.按照《危险废物规范化环境管理评估指标（工业危险废物产生单位、危险废物经营单位）》的要求打分，并全部填写《被抽查单位评估情况记录表》。</w:t>
            </w:r>
          </w:p>
          <w:p w14:paraId="2BC2E372">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p>
          <w:p w14:paraId="5EBD483B">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以上每项符合得1.5分，共3分。</w:t>
            </w:r>
          </w:p>
        </w:tc>
        <w:tc>
          <w:tcPr>
            <w:tcW w:w="1325" w:type="dxa"/>
            <w:vMerge w:val="continue"/>
            <w:noWrap w:val="0"/>
            <w:vAlign w:val="center"/>
          </w:tcPr>
          <w:p w14:paraId="754C76D4">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p>
        </w:tc>
      </w:tr>
      <w:tr w14:paraId="40762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noWrap w:val="0"/>
            <w:vAlign w:val="center"/>
          </w:tcPr>
          <w:p w14:paraId="38A1965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1144" w:type="dxa"/>
            <w:vMerge w:val="continue"/>
            <w:noWrap w:val="0"/>
            <w:vAlign w:val="center"/>
          </w:tcPr>
          <w:p w14:paraId="563FD6F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709" w:type="dxa"/>
            <w:vMerge w:val="continue"/>
            <w:noWrap w:val="0"/>
            <w:vAlign w:val="center"/>
          </w:tcPr>
          <w:p w14:paraId="18DB1D11">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2268" w:type="dxa"/>
            <w:noWrap w:val="0"/>
            <w:vAlign w:val="center"/>
          </w:tcPr>
          <w:p w14:paraId="5C26F881">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建立问题清单销号制度。（2分）</w:t>
            </w:r>
          </w:p>
        </w:tc>
        <w:tc>
          <w:tcPr>
            <w:tcW w:w="7992" w:type="dxa"/>
            <w:noWrap w:val="0"/>
            <w:vAlign w:val="center"/>
          </w:tcPr>
          <w:p w14:paraId="6E4BC53B">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1.针对评估过程中发现的各类问题建立了清单，且有部署、有跟踪、有结果，并按期解决的，得2分。</w:t>
            </w:r>
          </w:p>
          <w:p w14:paraId="78329AEE">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2.针对评估过程中发现的各类问题建立了清单，但未按期解决的，得1分。</w:t>
            </w:r>
          </w:p>
          <w:p w14:paraId="7510B24C">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3.未针对评估过程中发现的各类问题建立清单的，得0分。</w:t>
            </w:r>
          </w:p>
        </w:tc>
        <w:tc>
          <w:tcPr>
            <w:tcW w:w="1325" w:type="dxa"/>
            <w:vMerge w:val="continue"/>
            <w:noWrap w:val="0"/>
            <w:vAlign w:val="center"/>
          </w:tcPr>
          <w:p w14:paraId="6C28E54C">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p>
        </w:tc>
      </w:tr>
      <w:tr w14:paraId="01E1F0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noWrap w:val="0"/>
            <w:vAlign w:val="center"/>
          </w:tcPr>
          <w:p w14:paraId="7EEEB4DC">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1144" w:type="dxa"/>
            <w:vMerge w:val="continue"/>
            <w:noWrap w:val="0"/>
            <w:vAlign w:val="center"/>
          </w:tcPr>
          <w:p w14:paraId="3E13939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709" w:type="dxa"/>
            <w:vMerge w:val="continue"/>
            <w:noWrap w:val="0"/>
            <w:vAlign w:val="center"/>
          </w:tcPr>
          <w:p w14:paraId="2A70C041">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2268" w:type="dxa"/>
            <w:noWrap w:val="0"/>
            <w:vAlign w:val="center"/>
          </w:tcPr>
          <w:p w14:paraId="05D9932C">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惩治违法企业。（1分）</w:t>
            </w:r>
          </w:p>
        </w:tc>
        <w:tc>
          <w:tcPr>
            <w:tcW w:w="7992" w:type="dxa"/>
            <w:noWrap w:val="0"/>
            <w:vAlign w:val="center"/>
          </w:tcPr>
          <w:p w14:paraId="186BC27A">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将评估中发现的问题与环境执法工作相衔接得1分，否则不得分。</w:t>
            </w:r>
          </w:p>
        </w:tc>
        <w:tc>
          <w:tcPr>
            <w:tcW w:w="1325" w:type="dxa"/>
            <w:vMerge w:val="continue"/>
            <w:noWrap w:val="0"/>
            <w:vAlign w:val="center"/>
          </w:tcPr>
          <w:p w14:paraId="0E9DB205">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p>
        </w:tc>
      </w:tr>
      <w:tr w14:paraId="61C79D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noWrap w:val="0"/>
            <w:vAlign w:val="center"/>
          </w:tcPr>
          <w:p w14:paraId="712AF23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1144" w:type="dxa"/>
            <w:vMerge w:val="continue"/>
            <w:noWrap w:val="0"/>
            <w:vAlign w:val="center"/>
          </w:tcPr>
          <w:p w14:paraId="2F37EE8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709" w:type="dxa"/>
            <w:vMerge w:val="continue"/>
            <w:noWrap w:val="0"/>
            <w:vAlign w:val="center"/>
          </w:tcPr>
          <w:p w14:paraId="10271997">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2268" w:type="dxa"/>
            <w:noWrap w:val="0"/>
            <w:vAlign w:val="center"/>
          </w:tcPr>
          <w:p w14:paraId="555DB77B">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工作总结报送情况。</w:t>
            </w:r>
          </w:p>
          <w:p w14:paraId="2035187B">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w:t>
            </w:r>
            <w:r>
              <w:rPr>
                <w:rFonts w:hint="default" w:ascii="Times New Roman" w:hAnsi="Times New Roman" w:eastAsia="楷体_GB2312" w:cs="Times New Roman"/>
                <w:spacing w:val="-4"/>
                <w:kern w:val="0"/>
                <w:sz w:val="24"/>
                <w:szCs w:val="24"/>
                <w:lang w:val="en-US" w:eastAsia="zh-CN"/>
              </w:rPr>
              <w:t>2</w:t>
            </w:r>
            <w:r>
              <w:rPr>
                <w:rFonts w:hint="default" w:ascii="Times New Roman" w:hAnsi="Times New Roman" w:eastAsia="楷体_GB2312" w:cs="Times New Roman"/>
                <w:spacing w:val="-4"/>
                <w:kern w:val="0"/>
                <w:sz w:val="24"/>
                <w:szCs w:val="24"/>
              </w:rPr>
              <w:t>分）</w:t>
            </w:r>
          </w:p>
        </w:tc>
        <w:tc>
          <w:tcPr>
            <w:tcW w:w="7992" w:type="dxa"/>
            <w:noWrap w:val="0"/>
            <w:vAlign w:val="center"/>
          </w:tcPr>
          <w:p w14:paraId="65F46C57">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1月31日前报送上一年度规范化环境管理评估情况总结和本年度评估工作方案得1分，否则不得分。</w:t>
            </w:r>
          </w:p>
        </w:tc>
        <w:tc>
          <w:tcPr>
            <w:tcW w:w="1325" w:type="dxa"/>
            <w:vMerge w:val="continue"/>
            <w:noWrap w:val="0"/>
            <w:vAlign w:val="center"/>
          </w:tcPr>
          <w:p w14:paraId="60F30D42">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p>
        </w:tc>
      </w:tr>
      <w:tr w14:paraId="76309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restart"/>
            <w:shd w:val="clear" w:color="auto" w:fill="auto"/>
            <w:noWrap w:val="0"/>
            <w:vAlign w:val="center"/>
          </w:tcPr>
          <w:p w14:paraId="382520A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部门</w:t>
            </w:r>
          </w:p>
          <w:p w14:paraId="6C3EB918">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监管工作</w:t>
            </w:r>
          </w:p>
        </w:tc>
        <w:tc>
          <w:tcPr>
            <w:tcW w:w="1144" w:type="dxa"/>
            <w:vMerge w:val="restart"/>
            <w:shd w:val="clear" w:color="auto" w:fill="auto"/>
            <w:noWrap w:val="0"/>
            <w:vAlign w:val="center"/>
          </w:tcPr>
          <w:p w14:paraId="74B69AC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环境监管能力建设情况</w:t>
            </w:r>
          </w:p>
        </w:tc>
        <w:tc>
          <w:tcPr>
            <w:tcW w:w="709" w:type="dxa"/>
            <w:vMerge w:val="restart"/>
            <w:shd w:val="clear" w:color="auto" w:fill="auto"/>
            <w:noWrap w:val="0"/>
            <w:vAlign w:val="center"/>
          </w:tcPr>
          <w:p w14:paraId="508680E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rPr>
              <w:t>20</w:t>
            </w:r>
          </w:p>
        </w:tc>
        <w:tc>
          <w:tcPr>
            <w:tcW w:w="2268" w:type="dxa"/>
            <w:shd w:val="clear" w:color="auto" w:fill="auto"/>
            <w:noWrap w:val="0"/>
            <w:vAlign w:val="center"/>
          </w:tcPr>
          <w:p w14:paraId="127E4D1A">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rPr>
              <w:t>危险废物环境管理信息化应用情况。（</w:t>
            </w:r>
            <w:r>
              <w:rPr>
                <w:rFonts w:hint="default" w:ascii="Times New Roman" w:hAnsi="Times New Roman" w:eastAsia="楷体_GB2312" w:cs="Times New Roman"/>
                <w:spacing w:val="-4"/>
                <w:kern w:val="0"/>
                <w:sz w:val="24"/>
                <w:szCs w:val="24"/>
                <w:highlight w:val="none"/>
                <w:lang w:val="en-US" w:eastAsia="zh-CN"/>
              </w:rPr>
              <w:t>8</w:t>
            </w:r>
            <w:r>
              <w:rPr>
                <w:rFonts w:hint="default" w:ascii="Times New Roman" w:hAnsi="Times New Roman" w:eastAsia="楷体_GB2312" w:cs="Times New Roman"/>
                <w:spacing w:val="-4"/>
                <w:kern w:val="0"/>
                <w:sz w:val="24"/>
                <w:szCs w:val="24"/>
                <w:highlight w:val="none"/>
              </w:rPr>
              <w:t>分）</w:t>
            </w:r>
          </w:p>
        </w:tc>
        <w:tc>
          <w:tcPr>
            <w:tcW w:w="7992" w:type="dxa"/>
            <w:shd w:val="clear" w:color="auto" w:fill="auto"/>
            <w:noWrap w:val="0"/>
            <w:vAlign w:val="center"/>
          </w:tcPr>
          <w:p w14:paraId="20C47316">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rPr>
              <w:t>A.组织相关单位按要求通过</w:t>
            </w:r>
            <w:r>
              <w:rPr>
                <w:rFonts w:hint="default" w:ascii="Times New Roman" w:hAnsi="Times New Roman" w:eastAsia="楷体_GB2312" w:cs="Times New Roman"/>
                <w:spacing w:val="-4"/>
                <w:kern w:val="0"/>
                <w:sz w:val="24"/>
                <w:szCs w:val="24"/>
                <w:highlight w:val="none"/>
                <w:lang w:eastAsia="zh-CN"/>
              </w:rPr>
              <w:t>省固体废物环境管理信息平台</w:t>
            </w:r>
            <w:r>
              <w:rPr>
                <w:rFonts w:hint="default" w:ascii="Times New Roman" w:hAnsi="Times New Roman" w:eastAsia="楷体_GB2312" w:cs="Times New Roman"/>
                <w:spacing w:val="-4"/>
                <w:kern w:val="0"/>
                <w:sz w:val="24"/>
                <w:szCs w:val="24"/>
                <w:highlight w:val="none"/>
              </w:rPr>
              <w:t>完成危险废物申报</w:t>
            </w:r>
            <w:r>
              <w:rPr>
                <w:rFonts w:hint="default" w:ascii="Times New Roman" w:hAnsi="Times New Roman" w:eastAsia="楷体_GB2312" w:cs="Times New Roman"/>
                <w:spacing w:val="-4"/>
                <w:kern w:val="0"/>
                <w:sz w:val="24"/>
                <w:szCs w:val="24"/>
                <w:highlight w:val="none"/>
                <w:lang w:eastAsia="zh-CN"/>
              </w:rPr>
              <w:t>、</w:t>
            </w:r>
            <w:r>
              <w:rPr>
                <w:rFonts w:hint="default" w:ascii="Times New Roman" w:hAnsi="Times New Roman" w:eastAsia="楷体_GB2312" w:cs="Times New Roman"/>
                <w:spacing w:val="-4"/>
                <w:kern w:val="0"/>
                <w:sz w:val="24"/>
                <w:szCs w:val="24"/>
                <w:highlight w:val="none"/>
              </w:rPr>
              <w:t>管理计划备案。其中，纳入危险废物环境重点监管单位清单内的单位100%申报和备案管理计划的，得</w:t>
            </w:r>
            <w:r>
              <w:rPr>
                <w:rFonts w:hint="default" w:ascii="Times New Roman" w:hAnsi="Times New Roman" w:eastAsia="楷体_GB2312" w:cs="Times New Roman"/>
                <w:spacing w:val="-4"/>
                <w:kern w:val="0"/>
                <w:sz w:val="24"/>
                <w:szCs w:val="24"/>
                <w:highlight w:val="none"/>
                <w:lang w:val="en-US" w:eastAsia="zh-CN"/>
              </w:rPr>
              <w:t>3</w:t>
            </w:r>
            <w:r>
              <w:rPr>
                <w:rFonts w:hint="default" w:ascii="Times New Roman" w:hAnsi="Times New Roman" w:eastAsia="楷体_GB2312" w:cs="Times New Roman"/>
                <w:spacing w:val="-4"/>
                <w:kern w:val="0"/>
                <w:sz w:val="24"/>
                <w:szCs w:val="24"/>
                <w:highlight w:val="none"/>
              </w:rPr>
              <w:t>分；90%（含）至100%申报和备案管理计划的，得1分；90%以下申报和备案管理计划的，不得分。</w:t>
            </w:r>
          </w:p>
          <w:p w14:paraId="30D784EA">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rPr>
              <w:t>B.组织相关单位依法通过</w:t>
            </w:r>
            <w:r>
              <w:rPr>
                <w:rFonts w:hint="default" w:ascii="Times New Roman" w:hAnsi="Times New Roman" w:eastAsia="楷体_GB2312" w:cs="Times New Roman"/>
                <w:spacing w:val="-4"/>
                <w:kern w:val="0"/>
                <w:sz w:val="24"/>
                <w:szCs w:val="24"/>
                <w:highlight w:val="none"/>
                <w:lang w:eastAsia="zh-CN"/>
              </w:rPr>
              <w:t>省固体废物环境管理信息平台</w:t>
            </w:r>
            <w:r>
              <w:rPr>
                <w:rFonts w:hint="default" w:ascii="Times New Roman" w:hAnsi="Times New Roman" w:eastAsia="楷体_GB2312" w:cs="Times New Roman"/>
                <w:spacing w:val="-4"/>
                <w:kern w:val="0"/>
                <w:sz w:val="24"/>
                <w:szCs w:val="24"/>
                <w:highlight w:val="none"/>
              </w:rPr>
              <w:t>运行电子转移联单，实现危险废物转移全流程追踪。其中，实现联单各环节实时数据上报并有转移轨迹记录功能的，得2分；具备实时数据上报和转移轨迹其中1项功能的，得1分；2项均不满足的，不得分。</w:t>
            </w:r>
          </w:p>
          <w:p w14:paraId="5F89A819">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rPr>
              <w:t>C.组织相关单位按要求通过</w:t>
            </w:r>
            <w:r>
              <w:rPr>
                <w:rFonts w:hint="default" w:ascii="Times New Roman" w:hAnsi="Times New Roman" w:eastAsia="楷体_GB2312" w:cs="Times New Roman"/>
                <w:spacing w:val="-4"/>
                <w:kern w:val="0"/>
                <w:sz w:val="24"/>
                <w:szCs w:val="24"/>
                <w:highlight w:val="none"/>
                <w:lang w:eastAsia="zh-CN"/>
              </w:rPr>
              <w:t>省固体废物环境管理信息平台</w:t>
            </w:r>
            <w:r>
              <w:rPr>
                <w:rFonts w:hint="default" w:ascii="Times New Roman" w:hAnsi="Times New Roman" w:eastAsia="楷体_GB2312" w:cs="Times New Roman"/>
                <w:spacing w:val="-4"/>
                <w:kern w:val="0"/>
                <w:sz w:val="24"/>
                <w:szCs w:val="24"/>
                <w:highlight w:val="none"/>
              </w:rPr>
              <w:t>完成危险废物经营情况报送。其中，按时填报并按月更新许可证信息的，得2分；满足按时填报和按月更新许可证信息其中1项的，得1分；2项均不满足的，不得分。</w:t>
            </w:r>
          </w:p>
          <w:p w14:paraId="6194D0FD">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lang w:val="en-US" w:eastAsia="zh-CN"/>
              </w:rPr>
            </w:pPr>
            <w:r>
              <w:rPr>
                <w:rFonts w:hint="default" w:ascii="Times New Roman" w:hAnsi="Times New Roman" w:eastAsia="楷体_GB2312" w:cs="Times New Roman"/>
                <w:spacing w:val="-4"/>
                <w:kern w:val="0"/>
                <w:sz w:val="24"/>
                <w:szCs w:val="24"/>
                <w:highlight w:val="none"/>
                <w:lang w:val="en-US" w:eastAsia="zh-CN"/>
              </w:rPr>
              <w:t>D.组织对辖区内豁免利用处置单位的</w:t>
            </w:r>
            <w:r>
              <w:rPr>
                <w:rFonts w:hint="default" w:ascii="Times New Roman" w:hAnsi="Times New Roman" w:eastAsia="楷体_GB2312" w:cs="Times New Roman"/>
                <w:spacing w:val="-4"/>
                <w:kern w:val="0"/>
                <w:sz w:val="24"/>
                <w:szCs w:val="24"/>
                <w:highlight w:val="none"/>
              </w:rPr>
              <w:t>危险废物</w:t>
            </w:r>
            <w:r>
              <w:rPr>
                <w:rFonts w:hint="default" w:ascii="Times New Roman" w:hAnsi="Times New Roman" w:eastAsia="楷体_GB2312" w:cs="Times New Roman"/>
                <w:spacing w:val="-4"/>
                <w:kern w:val="0"/>
                <w:sz w:val="24"/>
                <w:szCs w:val="24"/>
                <w:highlight w:val="none"/>
                <w:lang w:eastAsia="zh-CN"/>
              </w:rPr>
              <w:t>转移联单、管理台账、经营年报等平台登记信息进行现场核查</w:t>
            </w:r>
            <w:r>
              <w:rPr>
                <w:rFonts w:hint="default" w:ascii="Times New Roman" w:hAnsi="Times New Roman" w:eastAsia="楷体_GB2312" w:cs="Times New Roman"/>
                <w:spacing w:val="-4"/>
                <w:kern w:val="0"/>
                <w:sz w:val="24"/>
                <w:szCs w:val="24"/>
                <w:highlight w:val="none"/>
              </w:rPr>
              <w:t>。</w:t>
            </w:r>
            <w:r>
              <w:rPr>
                <w:rFonts w:hint="default" w:ascii="Times New Roman" w:hAnsi="Times New Roman" w:eastAsia="楷体_GB2312" w:cs="Times New Roman"/>
                <w:spacing w:val="-4"/>
                <w:kern w:val="0"/>
                <w:sz w:val="24"/>
                <w:szCs w:val="24"/>
                <w:highlight w:val="none"/>
                <w:lang w:eastAsia="zh-CN"/>
              </w:rPr>
              <w:t>规范使用并按期如实填报的，得</w:t>
            </w:r>
            <w:r>
              <w:rPr>
                <w:rFonts w:hint="default" w:ascii="Times New Roman" w:hAnsi="Times New Roman" w:eastAsia="楷体_GB2312" w:cs="Times New Roman"/>
                <w:spacing w:val="-4"/>
                <w:kern w:val="0"/>
                <w:sz w:val="24"/>
                <w:szCs w:val="24"/>
                <w:highlight w:val="none"/>
                <w:lang w:val="en-US" w:eastAsia="zh-CN"/>
              </w:rPr>
              <w:t>2分；满足规范使用和按期如实填报其中1项的，得1分；2项均不满足的，不得分。</w:t>
            </w:r>
          </w:p>
        </w:tc>
        <w:tc>
          <w:tcPr>
            <w:tcW w:w="1325" w:type="dxa"/>
            <w:vMerge w:val="restart"/>
            <w:shd w:val="clear" w:color="auto" w:fill="auto"/>
            <w:noWrap w:val="0"/>
            <w:vAlign w:val="center"/>
          </w:tcPr>
          <w:p w14:paraId="157B191E">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查阅相关资料和信息系统</w:t>
            </w:r>
          </w:p>
        </w:tc>
      </w:tr>
      <w:tr w14:paraId="3AB58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shd w:val="clear" w:color="auto" w:fill="auto"/>
            <w:noWrap w:val="0"/>
            <w:vAlign w:val="center"/>
          </w:tcPr>
          <w:p w14:paraId="4E188A2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1144" w:type="dxa"/>
            <w:vMerge w:val="continue"/>
            <w:shd w:val="clear" w:color="auto" w:fill="auto"/>
            <w:noWrap w:val="0"/>
            <w:vAlign w:val="center"/>
          </w:tcPr>
          <w:p w14:paraId="0F622E6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709" w:type="dxa"/>
            <w:vMerge w:val="continue"/>
            <w:shd w:val="clear" w:color="auto" w:fill="auto"/>
            <w:noWrap w:val="0"/>
            <w:vAlign w:val="center"/>
          </w:tcPr>
          <w:p w14:paraId="11E64FDB">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highlight w:val="yellow"/>
              </w:rPr>
            </w:pPr>
          </w:p>
        </w:tc>
        <w:tc>
          <w:tcPr>
            <w:tcW w:w="2268" w:type="dxa"/>
            <w:shd w:val="clear" w:color="auto" w:fill="auto"/>
            <w:noWrap w:val="0"/>
            <w:vAlign w:val="center"/>
          </w:tcPr>
          <w:p w14:paraId="7BEE9B8A">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yellow"/>
              </w:rPr>
            </w:pPr>
            <w:r>
              <w:rPr>
                <w:rFonts w:hint="default" w:ascii="Times New Roman" w:hAnsi="Times New Roman" w:eastAsia="楷体_GB2312" w:cs="Times New Roman"/>
                <w:spacing w:val="-4"/>
                <w:kern w:val="0"/>
                <w:sz w:val="24"/>
                <w:szCs w:val="24"/>
              </w:rPr>
              <w:t>源头严防、过程严管、后果严惩监管体系建设情况。（6分）</w:t>
            </w:r>
          </w:p>
        </w:tc>
        <w:tc>
          <w:tcPr>
            <w:tcW w:w="7992" w:type="dxa"/>
            <w:shd w:val="clear" w:color="auto" w:fill="auto"/>
            <w:noWrap w:val="0"/>
            <w:vAlign w:val="center"/>
          </w:tcPr>
          <w:p w14:paraId="2B584E6C">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A.依法依规对不少于20家已批复的重点行业涉危险废物建设项目环境影响评价文件中危险废物种类、数量、贮存、利用处置方式等开展复核得2分，否则不得分。</w:t>
            </w:r>
          </w:p>
          <w:p w14:paraId="4EAB2F52">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B.按要求开展产生工业固体废物的排污单位排污许可证的核发和证后管理得2分，否则不得分。</w:t>
            </w:r>
          </w:p>
          <w:p w14:paraId="5AF17C6B">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yellow"/>
              </w:rPr>
            </w:pPr>
            <w:r>
              <w:rPr>
                <w:rFonts w:hint="default" w:ascii="Times New Roman" w:hAnsi="Times New Roman" w:eastAsia="楷体_GB2312" w:cs="Times New Roman"/>
                <w:spacing w:val="-4"/>
                <w:kern w:val="0"/>
                <w:sz w:val="24"/>
                <w:szCs w:val="24"/>
              </w:rPr>
              <w:t>C.将危险废物日常环境监管纳入生态环境执法“</w:t>
            </w:r>
            <w:bookmarkStart w:id="0" w:name="_GoBack"/>
            <w:bookmarkEnd w:id="0"/>
            <w:r>
              <w:rPr>
                <w:rFonts w:hint="default" w:ascii="Times New Roman" w:hAnsi="Times New Roman" w:eastAsia="楷体_GB2312" w:cs="Times New Roman"/>
                <w:spacing w:val="-4"/>
                <w:kern w:val="0"/>
                <w:sz w:val="24"/>
                <w:szCs w:val="24"/>
              </w:rPr>
              <w:t>双随机</w:t>
            </w:r>
            <w:r>
              <w:rPr>
                <w:rFonts w:hint="eastAsia" w:eastAsia="楷体_GB2312" w:cs="Times New Roman"/>
                <w:spacing w:val="-4"/>
                <w:kern w:val="0"/>
                <w:sz w:val="24"/>
                <w:szCs w:val="24"/>
                <w:lang w:eastAsia="zh-CN"/>
              </w:rPr>
              <w:t>、</w:t>
            </w:r>
            <w:r>
              <w:rPr>
                <w:rFonts w:hint="default" w:ascii="Times New Roman" w:hAnsi="Times New Roman" w:eastAsia="楷体_GB2312" w:cs="Times New Roman"/>
                <w:spacing w:val="-4"/>
                <w:kern w:val="0"/>
                <w:sz w:val="24"/>
                <w:szCs w:val="24"/>
              </w:rPr>
              <w:t>一公开”内容得2分，否则不得分。</w:t>
            </w:r>
          </w:p>
        </w:tc>
        <w:tc>
          <w:tcPr>
            <w:tcW w:w="1325" w:type="dxa"/>
            <w:vMerge w:val="continue"/>
            <w:shd w:val="clear" w:color="auto" w:fill="auto"/>
            <w:noWrap w:val="0"/>
            <w:vAlign w:val="center"/>
          </w:tcPr>
          <w:p w14:paraId="6B916B68">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p>
        </w:tc>
      </w:tr>
      <w:tr w14:paraId="7F780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shd w:val="clear" w:color="auto" w:fill="auto"/>
            <w:noWrap w:val="0"/>
            <w:vAlign w:val="center"/>
          </w:tcPr>
          <w:p w14:paraId="24906DA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1144" w:type="dxa"/>
            <w:vMerge w:val="continue"/>
            <w:shd w:val="clear" w:color="auto" w:fill="auto"/>
            <w:noWrap w:val="0"/>
            <w:vAlign w:val="center"/>
          </w:tcPr>
          <w:p w14:paraId="0324E5B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709" w:type="dxa"/>
            <w:vMerge w:val="continue"/>
            <w:shd w:val="clear" w:color="auto" w:fill="auto"/>
            <w:noWrap w:val="0"/>
            <w:vAlign w:val="center"/>
          </w:tcPr>
          <w:p w14:paraId="2F42942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highlight w:val="yellow"/>
              </w:rPr>
            </w:pPr>
          </w:p>
        </w:tc>
        <w:tc>
          <w:tcPr>
            <w:tcW w:w="2268" w:type="dxa"/>
            <w:shd w:val="clear" w:color="auto" w:fill="auto"/>
            <w:noWrap w:val="0"/>
            <w:vAlign w:val="center"/>
          </w:tcPr>
          <w:p w14:paraId="5DF2D515">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lang w:val="en-US" w:eastAsia="zh-CN"/>
              </w:rPr>
              <w:t>按要求完成专项整治年度任务</w:t>
            </w:r>
            <w:r>
              <w:rPr>
                <w:rFonts w:hint="default" w:ascii="Times New Roman" w:hAnsi="Times New Roman" w:eastAsia="楷体_GB2312" w:cs="Times New Roman"/>
                <w:spacing w:val="-4"/>
                <w:kern w:val="0"/>
                <w:sz w:val="24"/>
                <w:szCs w:val="24"/>
                <w:highlight w:val="none"/>
              </w:rPr>
              <w:t>。（</w:t>
            </w:r>
            <w:r>
              <w:rPr>
                <w:rFonts w:hint="default" w:ascii="Times New Roman" w:hAnsi="Times New Roman" w:eastAsia="楷体_GB2312" w:cs="Times New Roman"/>
                <w:spacing w:val="-4"/>
                <w:kern w:val="0"/>
                <w:sz w:val="24"/>
                <w:szCs w:val="24"/>
                <w:highlight w:val="none"/>
                <w:lang w:val="en-US" w:eastAsia="zh-CN"/>
              </w:rPr>
              <w:t>4</w:t>
            </w:r>
            <w:r>
              <w:rPr>
                <w:rFonts w:hint="default" w:ascii="Times New Roman" w:hAnsi="Times New Roman" w:eastAsia="楷体_GB2312" w:cs="Times New Roman"/>
                <w:spacing w:val="-4"/>
                <w:kern w:val="0"/>
                <w:sz w:val="24"/>
                <w:szCs w:val="24"/>
                <w:highlight w:val="none"/>
              </w:rPr>
              <w:t>分）</w:t>
            </w:r>
          </w:p>
        </w:tc>
        <w:tc>
          <w:tcPr>
            <w:tcW w:w="7992" w:type="dxa"/>
            <w:shd w:val="clear" w:color="auto" w:fill="auto"/>
            <w:noWrap w:val="0"/>
            <w:vAlign w:val="center"/>
          </w:tcPr>
          <w:p w14:paraId="7FCD1837">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lang w:val="en-US" w:eastAsia="zh-CN"/>
              </w:rPr>
              <w:t>A.2021年底前在国家专项整治APP中完成辖区内原排查问题清零，</w:t>
            </w:r>
            <w:r>
              <w:rPr>
                <w:rFonts w:hint="default" w:ascii="Times New Roman" w:hAnsi="Times New Roman" w:eastAsia="楷体_GB2312" w:cs="Times New Roman"/>
                <w:spacing w:val="-4"/>
                <w:kern w:val="0"/>
                <w:sz w:val="24"/>
                <w:szCs w:val="24"/>
                <w:highlight w:val="none"/>
              </w:rPr>
              <w:t>得1分</w:t>
            </w:r>
            <w:r>
              <w:rPr>
                <w:rFonts w:hint="default" w:ascii="Times New Roman" w:hAnsi="Times New Roman" w:eastAsia="楷体_GB2312" w:cs="Times New Roman"/>
                <w:spacing w:val="-4"/>
                <w:kern w:val="0"/>
                <w:sz w:val="24"/>
                <w:szCs w:val="24"/>
                <w:highlight w:val="none"/>
                <w:lang w:eastAsia="zh-CN"/>
              </w:rPr>
              <w:t>。</w:t>
            </w:r>
            <w:r>
              <w:rPr>
                <w:rFonts w:hint="default" w:ascii="Times New Roman" w:hAnsi="Times New Roman" w:eastAsia="楷体_GB2312" w:cs="Times New Roman"/>
                <w:spacing w:val="-4"/>
                <w:kern w:val="0"/>
                <w:sz w:val="24"/>
                <w:szCs w:val="24"/>
                <w:highlight w:val="none"/>
              </w:rPr>
              <w:t>否则不得分。</w:t>
            </w:r>
          </w:p>
          <w:p w14:paraId="3C72A53D">
            <w:pPr>
              <w:keepNext w:val="0"/>
              <w:keepLines w:val="0"/>
              <w:pageBreakBefore w:val="0"/>
              <w:widowControl/>
              <w:numPr>
                <w:ilvl w:val="0"/>
                <w:numId w:val="1"/>
              </w:numPr>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lang w:val="en-US" w:eastAsia="zh-CN"/>
              </w:rPr>
              <w:t>核查20家及以上重点行业企业实际产废与环保文件匹配情况，</w:t>
            </w:r>
            <w:r>
              <w:rPr>
                <w:rFonts w:hint="default" w:ascii="Times New Roman" w:hAnsi="Times New Roman" w:eastAsia="楷体_GB2312" w:cs="Times New Roman"/>
                <w:spacing w:val="-4"/>
                <w:kern w:val="0"/>
                <w:sz w:val="24"/>
                <w:szCs w:val="24"/>
                <w:highlight w:val="none"/>
              </w:rPr>
              <w:t>得1分</w:t>
            </w:r>
            <w:r>
              <w:rPr>
                <w:rFonts w:hint="default" w:ascii="Times New Roman" w:hAnsi="Times New Roman" w:eastAsia="楷体_GB2312" w:cs="Times New Roman"/>
                <w:spacing w:val="-4"/>
                <w:kern w:val="0"/>
                <w:sz w:val="24"/>
                <w:szCs w:val="24"/>
                <w:highlight w:val="none"/>
                <w:lang w:eastAsia="zh-CN"/>
              </w:rPr>
              <w:t>。</w:t>
            </w:r>
            <w:r>
              <w:rPr>
                <w:rFonts w:hint="default" w:ascii="Times New Roman" w:hAnsi="Times New Roman" w:eastAsia="楷体_GB2312" w:cs="Times New Roman"/>
                <w:spacing w:val="-4"/>
                <w:kern w:val="0"/>
                <w:sz w:val="24"/>
                <w:szCs w:val="24"/>
                <w:highlight w:val="none"/>
              </w:rPr>
              <w:t>否则不得分。</w:t>
            </w:r>
          </w:p>
          <w:p w14:paraId="038586AB">
            <w:pPr>
              <w:keepNext w:val="0"/>
              <w:keepLines w:val="0"/>
              <w:pageBreakBefore w:val="0"/>
              <w:widowControl/>
              <w:numPr>
                <w:ilvl w:val="0"/>
                <w:numId w:val="1"/>
              </w:numPr>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lang w:eastAsia="zh-CN"/>
              </w:rPr>
              <w:t>开展</w:t>
            </w:r>
            <w:r>
              <w:rPr>
                <w:rFonts w:hint="default" w:ascii="Times New Roman" w:hAnsi="Times New Roman" w:eastAsia="楷体_GB2312" w:cs="Times New Roman"/>
                <w:spacing w:val="-4"/>
                <w:kern w:val="0"/>
                <w:sz w:val="24"/>
                <w:szCs w:val="24"/>
                <w:highlight w:val="none"/>
                <w:lang w:val="en-US" w:eastAsia="zh-CN"/>
              </w:rPr>
              <w:t>2020年产生10吨及以上的产废单位补充抽查并将发现问题录入APP的，得1分。否则不得分。</w:t>
            </w:r>
          </w:p>
          <w:p w14:paraId="66361DB8">
            <w:pPr>
              <w:keepNext w:val="0"/>
              <w:keepLines w:val="0"/>
              <w:pageBreakBefore w:val="0"/>
              <w:widowControl/>
              <w:numPr>
                <w:ilvl w:val="0"/>
                <w:numId w:val="1"/>
              </w:numPr>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lang w:val="en-US" w:eastAsia="zh-CN"/>
              </w:rPr>
              <w:t>组织2020年产生10吨以下的产废单位在2021年底前开展自查并向生态环境主管部门提交自查报告的，得1分。否则不得分。</w:t>
            </w:r>
          </w:p>
        </w:tc>
        <w:tc>
          <w:tcPr>
            <w:tcW w:w="1325" w:type="dxa"/>
            <w:vMerge w:val="continue"/>
            <w:shd w:val="clear" w:color="auto" w:fill="auto"/>
            <w:noWrap w:val="0"/>
            <w:vAlign w:val="center"/>
          </w:tcPr>
          <w:p w14:paraId="10E5932B">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p>
        </w:tc>
      </w:tr>
      <w:tr w14:paraId="5B7CC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restart"/>
            <w:shd w:val="clear" w:color="auto" w:fill="auto"/>
            <w:noWrap w:val="0"/>
            <w:vAlign w:val="center"/>
          </w:tcPr>
          <w:p w14:paraId="0CFC665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部门</w:t>
            </w:r>
          </w:p>
          <w:p w14:paraId="6C5434F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监管工作</w:t>
            </w:r>
          </w:p>
        </w:tc>
        <w:tc>
          <w:tcPr>
            <w:tcW w:w="1144" w:type="dxa"/>
            <w:shd w:val="clear" w:color="auto" w:fill="auto"/>
            <w:noWrap w:val="0"/>
            <w:vAlign w:val="center"/>
          </w:tcPr>
          <w:p w14:paraId="327A7478">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环境监管能力建设情况</w:t>
            </w:r>
          </w:p>
        </w:tc>
        <w:tc>
          <w:tcPr>
            <w:tcW w:w="709" w:type="dxa"/>
            <w:shd w:val="clear" w:color="auto" w:fill="auto"/>
            <w:noWrap w:val="0"/>
            <w:vAlign w:val="center"/>
          </w:tcPr>
          <w:p w14:paraId="10A6A51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20</w:t>
            </w:r>
          </w:p>
        </w:tc>
        <w:tc>
          <w:tcPr>
            <w:tcW w:w="2268" w:type="dxa"/>
            <w:shd w:val="clear" w:color="auto" w:fill="auto"/>
            <w:noWrap w:val="0"/>
            <w:vAlign w:val="center"/>
          </w:tcPr>
          <w:p w14:paraId="2834C51D">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加强监管人员和企业人员培训。（2分）</w:t>
            </w:r>
          </w:p>
        </w:tc>
        <w:tc>
          <w:tcPr>
            <w:tcW w:w="7992" w:type="dxa"/>
            <w:shd w:val="clear" w:color="auto" w:fill="auto"/>
            <w:noWrap w:val="0"/>
            <w:vAlign w:val="center"/>
          </w:tcPr>
          <w:p w14:paraId="327D3EDC">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A.全省（区、市）固体废物管理、环境执法、环境影响评价与排污许可等部门工作人员每年接受固体废物管理业务培训的数量达到上述人员编制数量之和的30%。</w:t>
            </w:r>
          </w:p>
          <w:p w14:paraId="31AD75A8">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B.全省（区、市）重点产废单位和全部经营单位每年接受固体废物管理政策法规或技术培训的数量达到上述单位总数的20%。</w:t>
            </w:r>
          </w:p>
          <w:p w14:paraId="4A890F3D">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p>
          <w:p w14:paraId="6C8E12C5">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sz w:val="24"/>
                <w:szCs w:val="24"/>
              </w:rPr>
            </w:pPr>
            <w:r>
              <w:rPr>
                <w:rFonts w:hint="default" w:ascii="Times New Roman" w:hAnsi="Times New Roman" w:eastAsia="楷体_GB2312" w:cs="Times New Roman"/>
                <w:spacing w:val="-4"/>
                <w:kern w:val="0"/>
                <w:sz w:val="24"/>
                <w:szCs w:val="24"/>
              </w:rPr>
              <w:t>以上每项符合得1分，共2分。</w:t>
            </w:r>
          </w:p>
        </w:tc>
        <w:tc>
          <w:tcPr>
            <w:tcW w:w="1325" w:type="dxa"/>
            <w:shd w:val="clear" w:color="auto" w:fill="auto"/>
            <w:noWrap w:val="0"/>
            <w:vAlign w:val="center"/>
          </w:tcPr>
          <w:p w14:paraId="2C08A568">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查阅相关资料和信息系统</w:t>
            </w:r>
          </w:p>
        </w:tc>
      </w:tr>
      <w:tr w14:paraId="306C5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noWrap w:val="0"/>
            <w:vAlign w:val="center"/>
          </w:tcPr>
          <w:p w14:paraId="23783AB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1144" w:type="dxa"/>
            <w:vMerge w:val="restart"/>
            <w:noWrap w:val="0"/>
            <w:vAlign w:val="center"/>
          </w:tcPr>
          <w:p w14:paraId="4D772C6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利用处置能力保障情况</w:t>
            </w:r>
          </w:p>
        </w:tc>
        <w:tc>
          <w:tcPr>
            <w:tcW w:w="709" w:type="dxa"/>
            <w:vMerge w:val="restart"/>
            <w:noWrap w:val="0"/>
            <w:vAlign w:val="center"/>
          </w:tcPr>
          <w:p w14:paraId="64A1C7CC">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10</w:t>
            </w:r>
          </w:p>
        </w:tc>
        <w:tc>
          <w:tcPr>
            <w:tcW w:w="2268" w:type="dxa"/>
            <w:noWrap w:val="0"/>
            <w:vAlign w:val="center"/>
          </w:tcPr>
          <w:p w14:paraId="56CBFDB8">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提升危险废物集中处置基础保障能力和水平。</w:t>
            </w:r>
          </w:p>
          <w:p w14:paraId="0A866F47">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（6分）</w:t>
            </w:r>
          </w:p>
        </w:tc>
        <w:tc>
          <w:tcPr>
            <w:tcW w:w="7992" w:type="dxa"/>
            <w:noWrap w:val="0"/>
            <w:vAlign w:val="center"/>
          </w:tcPr>
          <w:p w14:paraId="3884D98B">
            <w:pPr>
              <w:keepNext w:val="0"/>
              <w:keepLines w:val="0"/>
              <w:pageBreakBefore w:val="0"/>
              <w:widowControl/>
              <w:tabs>
                <w:tab w:val="left" w:pos="1120"/>
              </w:tabs>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pacing w:val="-4"/>
                <w:kern w:val="0"/>
                <w:sz w:val="24"/>
                <w:szCs w:val="24"/>
              </w:rPr>
              <w:t>A.</w:t>
            </w:r>
            <w:r>
              <w:rPr>
                <w:rFonts w:hint="default" w:ascii="Times New Roman" w:hAnsi="Times New Roman" w:eastAsia="楷体_GB2312" w:cs="Times New Roman"/>
                <w:spacing w:val="-4"/>
                <w:kern w:val="0"/>
                <w:sz w:val="24"/>
                <w:szCs w:val="24"/>
                <w:lang w:eastAsia="zh-CN"/>
              </w:rPr>
              <w:t>及时掌握辖区内</w:t>
            </w:r>
            <w:r>
              <w:rPr>
                <w:rFonts w:hint="default" w:ascii="Times New Roman" w:hAnsi="Times New Roman" w:eastAsia="楷体_GB2312" w:cs="Times New Roman"/>
                <w:spacing w:val="-4"/>
                <w:kern w:val="0"/>
                <w:sz w:val="24"/>
                <w:szCs w:val="24"/>
              </w:rPr>
              <w:t>危险废物</w:t>
            </w:r>
            <w:r>
              <w:rPr>
                <w:rFonts w:hint="default" w:ascii="Times New Roman" w:hAnsi="Times New Roman" w:eastAsia="楷体_GB2312" w:cs="Times New Roman"/>
                <w:spacing w:val="-4"/>
                <w:kern w:val="0"/>
                <w:sz w:val="24"/>
                <w:szCs w:val="24"/>
                <w:lang w:eastAsia="zh-CN"/>
              </w:rPr>
              <w:t>利用处置</w:t>
            </w:r>
            <w:r>
              <w:rPr>
                <w:rFonts w:hint="default" w:ascii="Times New Roman" w:hAnsi="Times New Roman" w:eastAsia="楷体_GB2312" w:cs="Times New Roman"/>
                <w:spacing w:val="-4"/>
                <w:kern w:val="0"/>
                <w:sz w:val="24"/>
                <w:szCs w:val="24"/>
              </w:rPr>
              <w:t>设施运行情况</w:t>
            </w:r>
            <w:r>
              <w:rPr>
                <w:rFonts w:hint="default" w:ascii="Times New Roman" w:hAnsi="Times New Roman" w:eastAsia="楷体_GB2312" w:cs="Times New Roman"/>
                <w:spacing w:val="-4"/>
                <w:kern w:val="0"/>
                <w:sz w:val="24"/>
                <w:szCs w:val="24"/>
                <w:lang w:eastAsia="zh-CN"/>
              </w:rPr>
              <w:t>，科学评估</w:t>
            </w:r>
            <w:r>
              <w:rPr>
                <w:rFonts w:hint="default" w:ascii="Times New Roman" w:hAnsi="Times New Roman" w:eastAsia="楷体_GB2312" w:cs="Times New Roman"/>
                <w:spacing w:val="-4"/>
                <w:kern w:val="0"/>
                <w:sz w:val="24"/>
                <w:szCs w:val="24"/>
              </w:rPr>
              <w:t>产生量与</w:t>
            </w:r>
            <w:r>
              <w:rPr>
                <w:rFonts w:hint="default" w:ascii="Times New Roman" w:hAnsi="Times New Roman" w:eastAsia="楷体_GB2312" w:cs="Times New Roman"/>
                <w:spacing w:val="-4"/>
                <w:kern w:val="0"/>
                <w:sz w:val="24"/>
                <w:szCs w:val="24"/>
                <w:lang w:eastAsia="zh-CN"/>
              </w:rPr>
              <w:t>利用</w:t>
            </w:r>
            <w:r>
              <w:rPr>
                <w:rFonts w:hint="default" w:ascii="Times New Roman" w:hAnsi="Times New Roman" w:eastAsia="楷体_GB2312" w:cs="Times New Roman"/>
                <w:spacing w:val="-4"/>
                <w:kern w:val="0"/>
                <w:sz w:val="24"/>
                <w:szCs w:val="24"/>
              </w:rPr>
              <w:t>处置能力匹配</w:t>
            </w:r>
            <w:r>
              <w:rPr>
                <w:rFonts w:hint="default" w:ascii="Times New Roman" w:hAnsi="Times New Roman" w:eastAsia="楷体_GB2312" w:cs="Times New Roman"/>
                <w:spacing w:val="-4"/>
                <w:kern w:val="0"/>
                <w:sz w:val="24"/>
                <w:szCs w:val="24"/>
                <w:lang w:eastAsia="zh-CN"/>
              </w:rPr>
              <w:t>情况</w:t>
            </w:r>
            <w:r>
              <w:rPr>
                <w:rFonts w:hint="default" w:ascii="Times New Roman" w:hAnsi="Times New Roman" w:eastAsia="楷体_GB2312" w:cs="Times New Roman"/>
                <w:spacing w:val="-4"/>
                <w:kern w:val="0"/>
                <w:sz w:val="24"/>
                <w:szCs w:val="24"/>
              </w:rPr>
              <w:t>，</w:t>
            </w:r>
            <w:r>
              <w:rPr>
                <w:rFonts w:hint="default" w:ascii="Times New Roman" w:hAnsi="Times New Roman" w:eastAsia="楷体_GB2312" w:cs="Times New Roman"/>
                <w:spacing w:val="-4"/>
                <w:kern w:val="0"/>
                <w:sz w:val="24"/>
                <w:szCs w:val="24"/>
                <w:lang w:eastAsia="zh-CN"/>
              </w:rPr>
              <w:t>有序谋划并推动</w:t>
            </w:r>
            <w:r>
              <w:rPr>
                <w:rFonts w:hint="default" w:ascii="Times New Roman" w:hAnsi="Times New Roman" w:eastAsia="楷体_GB2312" w:cs="Times New Roman"/>
                <w:spacing w:val="-4"/>
                <w:kern w:val="0"/>
                <w:sz w:val="24"/>
                <w:szCs w:val="24"/>
              </w:rPr>
              <w:t>危险废物</w:t>
            </w:r>
            <w:r>
              <w:rPr>
                <w:rFonts w:hint="default" w:ascii="Times New Roman" w:hAnsi="Times New Roman" w:eastAsia="楷体_GB2312" w:cs="Times New Roman"/>
                <w:spacing w:val="-4"/>
                <w:kern w:val="0"/>
                <w:sz w:val="24"/>
                <w:szCs w:val="24"/>
                <w:lang w:eastAsia="zh-CN"/>
              </w:rPr>
              <w:t>利用</w:t>
            </w:r>
            <w:r>
              <w:rPr>
                <w:rFonts w:hint="default" w:ascii="Times New Roman" w:hAnsi="Times New Roman" w:eastAsia="楷体_GB2312" w:cs="Times New Roman"/>
                <w:spacing w:val="-4"/>
                <w:kern w:val="0"/>
                <w:sz w:val="24"/>
                <w:szCs w:val="24"/>
              </w:rPr>
              <w:t>处置设施建设。</w:t>
            </w:r>
            <w:r>
              <w:rPr>
                <w:rFonts w:hint="default" w:ascii="Times New Roman" w:hAnsi="Times New Roman" w:eastAsia="楷体_GB2312" w:cs="Times New Roman"/>
                <w:spacing w:val="-4"/>
                <w:kern w:val="0"/>
                <w:sz w:val="24"/>
                <w:szCs w:val="24"/>
                <w:lang w:eastAsia="zh-CN"/>
              </w:rPr>
              <w:t>相关项目（（粤办发〔2018〕29号、粤环函〔2020〕308、329号））建设满足时序进度的，得</w:t>
            </w:r>
            <w:r>
              <w:rPr>
                <w:rFonts w:hint="default" w:ascii="Times New Roman" w:hAnsi="Times New Roman" w:eastAsia="楷体_GB2312" w:cs="Times New Roman"/>
                <w:spacing w:val="-4"/>
                <w:kern w:val="0"/>
                <w:sz w:val="24"/>
                <w:szCs w:val="24"/>
                <w:lang w:val="en-US" w:eastAsia="zh-CN"/>
              </w:rPr>
              <w:t>5分。否则不得分</w:t>
            </w:r>
            <w:r>
              <w:rPr>
                <w:rFonts w:hint="default" w:ascii="Times New Roman" w:hAnsi="Times New Roman" w:eastAsia="楷体_GB2312" w:cs="Times New Roman"/>
                <w:spacing w:val="-4"/>
                <w:kern w:val="0"/>
                <w:sz w:val="24"/>
                <w:szCs w:val="24"/>
              </w:rPr>
              <w:t>。</w:t>
            </w:r>
          </w:p>
          <w:p w14:paraId="00DBA881">
            <w:pPr>
              <w:keepNext w:val="0"/>
              <w:keepLines w:val="0"/>
              <w:pageBreakBefore w:val="0"/>
              <w:widowControl/>
              <w:tabs>
                <w:tab w:val="left" w:pos="1120"/>
              </w:tabs>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w:t>
            </w:r>
            <w:r>
              <w:rPr>
                <w:rFonts w:hint="default" w:ascii="Times New Roman" w:hAnsi="Times New Roman" w:eastAsia="楷体_GB2312" w:cs="Times New Roman"/>
                <w:spacing w:val="-4"/>
                <w:kern w:val="0"/>
                <w:sz w:val="24"/>
                <w:szCs w:val="24"/>
                <w:lang w:eastAsia="zh-CN"/>
              </w:rPr>
              <w:t>辖区</w:t>
            </w:r>
            <w:r>
              <w:rPr>
                <w:rFonts w:hint="default" w:ascii="Times New Roman" w:hAnsi="Times New Roman" w:eastAsia="楷体_GB2312" w:cs="Times New Roman"/>
                <w:spacing w:val="-4"/>
                <w:kern w:val="0"/>
                <w:sz w:val="24"/>
                <w:szCs w:val="24"/>
              </w:rPr>
              <w:t>内危险废物贮存量较上一年度减少</w:t>
            </w:r>
            <w:r>
              <w:rPr>
                <w:rFonts w:hint="default" w:ascii="Times New Roman" w:hAnsi="Times New Roman" w:eastAsia="楷体_GB2312" w:cs="Times New Roman"/>
                <w:spacing w:val="-4"/>
                <w:kern w:val="0"/>
                <w:sz w:val="24"/>
                <w:szCs w:val="24"/>
                <w:lang w:eastAsia="zh-CN"/>
              </w:rPr>
              <w:t>的，得</w:t>
            </w:r>
            <w:r>
              <w:rPr>
                <w:rFonts w:hint="default" w:ascii="Times New Roman" w:hAnsi="Times New Roman" w:eastAsia="楷体_GB2312" w:cs="Times New Roman"/>
                <w:spacing w:val="-4"/>
                <w:kern w:val="0"/>
                <w:sz w:val="24"/>
                <w:szCs w:val="24"/>
                <w:lang w:val="en-US" w:eastAsia="zh-CN"/>
              </w:rPr>
              <w:t>1分。否则不得分</w:t>
            </w:r>
            <w:r>
              <w:rPr>
                <w:rFonts w:hint="default" w:ascii="Times New Roman" w:hAnsi="Times New Roman" w:eastAsia="楷体_GB2312" w:cs="Times New Roman"/>
                <w:spacing w:val="-4"/>
                <w:kern w:val="0"/>
                <w:sz w:val="24"/>
                <w:szCs w:val="24"/>
              </w:rPr>
              <w:t>。</w:t>
            </w:r>
          </w:p>
        </w:tc>
        <w:tc>
          <w:tcPr>
            <w:tcW w:w="1325" w:type="dxa"/>
            <w:noWrap w:val="0"/>
            <w:vAlign w:val="center"/>
          </w:tcPr>
          <w:p w14:paraId="75DEA7A1">
            <w:pPr>
              <w:keepNext w:val="0"/>
              <w:keepLines w:val="0"/>
              <w:pageBreakBefore w:val="0"/>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查阅相关资料和信息系统、现场核查</w:t>
            </w:r>
          </w:p>
        </w:tc>
      </w:tr>
      <w:tr w14:paraId="13CC4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noWrap w:val="0"/>
            <w:vAlign w:val="center"/>
          </w:tcPr>
          <w:p w14:paraId="29105B38">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1144" w:type="dxa"/>
            <w:vMerge w:val="continue"/>
            <w:noWrap w:val="0"/>
            <w:vAlign w:val="center"/>
          </w:tcPr>
          <w:p w14:paraId="299B9E8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709" w:type="dxa"/>
            <w:vMerge w:val="continue"/>
            <w:noWrap w:val="0"/>
            <w:vAlign w:val="center"/>
          </w:tcPr>
          <w:p w14:paraId="0029AC5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2268" w:type="dxa"/>
            <w:noWrap w:val="0"/>
            <w:vAlign w:val="center"/>
          </w:tcPr>
          <w:p w14:paraId="51ACFFA9">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lang w:eastAsia="zh-CN"/>
              </w:rPr>
              <w:t>强化</w:t>
            </w:r>
            <w:r>
              <w:rPr>
                <w:rFonts w:hint="default" w:ascii="Times New Roman" w:hAnsi="Times New Roman" w:eastAsia="楷体_GB2312" w:cs="Times New Roman"/>
                <w:spacing w:val="-4"/>
                <w:kern w:val="0"/>
                <w:sz w:val="24"/>
                <w:szCs w:val="24"/>
              </w:rPr>
              <w:t>危险废物应急处置。（</w:t>
            </w:r>
            <w:r>
              <w:rPr>
                <w:rFonts w:hint="default" w:ascii="Times New Roman" w:hAnsi="Times New Roman" w:eastAsia="楷体_GB2312" w:cs="Times New Roman"/>
                <w:spacing w:val="-4"/>
                <w:kern w:val="0"/>
                <w:sz w:val="24"/>
                <w:szCs w:val="24"/>
                <w:lang w:val="en-US" w:eastAsia="zh-CN"/>
              </w:rPr>
              <w:t>2</w:t>
            </w:r>
            <w:r>
              <w:rPr>
                <w:rFonts w:hint="default" w:ascii="Times New Roman" w:hAnsi="Times New Roman" w:eastAsia="楷体_GB2312" w:cs="Times New Roman"/>
                <w:spacing w:val="-4"/>
                <w:kern w:val="0"/>
                <w:sz w:val="24"/>
                <w:szCs w:val="24"/>
              </w:rPr>
              <w:t>分）</w:t>
            </w:r>
          </w:p>
        </w:tc>
        <w:tc>
          <w:tcPr>
            <w:tcW w:w="7992" w:type="dxa"/>
            <w:noWrap w:val="0"/>
            <w:vAlign w:val="center"/>
          </w:tcPr>
          <w:p w14:paraId="0256F489">
            <w:pPr>
              <w:keepNext w:val="0"/>
              <w:keepLines w:val="0"/>
              <w:pageBreakBefore w:val="0"/>
              <w:widowControl/>
              <w:tabs>
                <w:tab w:val="left" w:pos="1120"/>
              </w:tabs>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将涉危险废物突发生态环境事件应急处置纳入政府应急响应体系，完善环境应急响应预案，保障危险废物应急处置</w:t>
            </w:r>
            <w:r>
              <w:rPr>
                <w:rFonts w:hint="default" w:ascii="Times New Roman" w:hAnsi="Times New Roman" w:eastAsia="楷体_GB2312" w:cs="Times New Roman"/>
                <w:spacing w:val="-4"/>
                <w:kern w:val="0"/>
                <w:sz w:val="24"/>
                <w:szCs w:val="24"/>
                <w:lang w:eastAsia="zh-CN"/>
              </w:rPr>
              <w:t>的，</w:t>
            </w:r>
            <w:r>
              <w:rPr>
                <w:rFonts w:hint="default" w:ascii="Times New Roman" w:hAnsi="Times New Roman" w:eastAsia="楷体_GB2312" w:cs="Times New Roman"/>
                <w:spacing w:val="-4"/>
                <w:kern w:val="0"/>
                <w:sz w:val="24"/>
                <w:szCs w:val="24"/>
              </w:rPr>
              <w:t>得2分</w:t>
            </w:r>
            <w:r>
              <w:rPr>
                <w:rFonts w:hint="default" w:ascii="Times New Roman" w:hAnsi="Times New Roman" w:eastAsia="楷体_GB2312" w:cs="Times New Roman"/>
                <w:spacing w:val="-4"/>
                <w:kern w:val="0"/>
                <w:sz w:val="24"/>
                <w:szCs w:val="24"/>
                <w:lang w:eastAsia="zh-CN"/>
              </w:rPr>
              <w:t>。否则不得分。</w:t>
            </w:r>
          </w:p>
        </w:tc>
        <w:tc>
          <w:tcPr>
            <w:tcW w:w="1325" w:type="dxa"/>
            <w:noWrap w:val="0"/>
            <w:vAlign w:val="center"/>
          </w:tcPr>
          <w:p w14:paraId="0491B013">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查阅相关资料和现场核查</w:t>
            </w:r>
          </w:p>
        </w:tc>
      </w:tr>
      <w:tr w14:paraId="74CDC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vMerge w:val="continue"/>
            <w:noWrap w:val="0"/>
            <w:vAlign w:val="center"/>
          </w:tcPr>
          <w:p w14:paraId="3AC4E4D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b/>
                <w:spacing w:val="-4"/>
                <w:kern w:val="0"/>
                <w:sz w:val="24"/>
                <w:szCs w:val="24"/>
              </w:rPr>
            </w:pPr>
          </w:p>
        </w:tc>
        <w:tc>
          <w:tcPr>
            <w:tcW w:w="1144" w:type="dxa"/>
            <w:vMerge w:val="continue"/>
            <w:noWrap w:val="0"/>
            <w:vAlign w:val="center"/>
          </w:tcPr>
          <w:p w14:paraId="5609CB4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709" w:type="dxa"/>
            <w:vMerge w:val="continue"/>
            <w:noWrap w:val="0"/>
            <w:vAlign w:val="center"/>
          </w:tcPr>
          <w:p w14:paraId="1FE7CF37">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2268" w:type="dxa"/>
            <w:noWrap w:val="0"/>
            <w:vAlign w:val="center"/>
          </w:tcPr>
          <w:p w14:paraId="020C6EAD">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lang w:eastAsia="zh-CN"/>
              </w:rPr>
              <w:t>保障医疗废物应急</w:t>
            </w:r>
            <w:r>
              <w:rPr>
                <w:rFonts w:hint="default" w:ascii="Times New Roman" w:hAnsi="Times New Roman" w:eastAsia="楷体_GB2312" w:cs="Times New Roman"/>
                <w:spacing w:val="-4"/>
                <w:kern w:val="0"/>
                <w:sz w:val="24"/>
                <w:szCs w:val="24"/>
              </w:rPr>
              <w:t>处置。（</w:t>
            </w:r>
            <w:r>
              <w:rPr>
                <w:rFonts w:hint="default" w:ascii="Times New Roman" w:hAnsi="Times New Roman" w:eastAsia="楷体_GB2312" w:cs="Times New Roman"/>
                <w:spacing w:val="-4"/>
                <w:kern w:val="0"/>
                <w:sz w:val="24"/>
                <w:szCs w:val="24"/>
                <w:lang w:val="en-US" w:eastAsia="zh-CN"/>
              </w:rPr>
              <w:t>2</w:t>
            </w:r>
            <w:r>
              <w:rPr>
                <w:rFonts w:hint="default" w:ascii="Times New Roman" w:hAnsi="Times New Roman" w:eastAsia="楷体_GB2312" w:cs="Times New Roman"/>
                <w:spacing w:val="-4"/>
                <w:kern w:val="0"/>
                <w:sz w:val="24"/>
                <w:szCs w:val="24"/>
              </w:rPr>
              <w:t>分）</w:t>
            </w:r>
          </w:p>
        </w:tc>
        <w:tc>
          <w:tcPr>
            <w:tcW w:w="7992" w:type="dxa"/>
            <w:noWrap w:val="0"/>
            <w:vAlign w:val="center"/>
          </w:tcPr>
          <w:p w14:paraId="56680B5A">
            <w:pPr>
              <w:keepNext w:val="0"/>
              <w:keepLines w:val="0"/>
              <w:pageBreakBefore w:val="0"/>
              <w:widowControl/>
              <w:tabs>
                <w:tab w:val="left" w:pos="1120"/>
              </w:tabs>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推动建立协同应急处置</w:t>
            </w:r>
            <w:r>
              <w:rPr>
                <w:rFonts w:hint="default" w:ascii="Times New Roman" w:hAnsi="Times New Roman" w:eastAsia="楷体_GB2312" w:cs="Times New Roman"/>
                <w:spacing w:val="-4"/>
                <w:kern w:val="0"/>
                <w:sz w:val="24"/>
                <w:szCs w:val="24"/>
                <w:lang w:eastAsia="zh-CN"/>
              </w:rPr>
              <w:t>医疗废物</w:t>
            </w:r>
            <w:r>
              <w:rPr>
                <w:rFonts w:hint="default" w:ascii="Times New Roman" w:hAnsi="Times New Roman" w:eastAsia="楷体_GB2312" w:cs="Times New Roman"/>
                <w:spacing w:val="-4"/>
                <w:kern w:val="0"/>
                <w:sz w:val="24"/>
                <w:szCs w:val="24"/>
              </w:rPr>
              <w:t>设施清单</w:t>
            </w:r>
            <w:r>
              <w:rPr>
                <w:rFonts w:hint="default" w:ascii="Times New Roman" w:hAnsi="Times New Roman" w:eastAsia="楷体_GB2312" w:cs="Times New Roman"/>
                <w:spacing w:val="-4"/>
                <w:kern w:val="0"/>
                <w:sz w:val="24"/>
                <w:szCs w:val="24"/>
                <w:lang w:eastAsia="zh-CN"/>
              </w:rPr>
              <w:t>。地级以上市</w:t>
            </w:r>
            <w:r>
              <w:rPr>
                <w:rFonts w:hint="default" w:ascii="Times New Roman" w:hAnsi="Times New Roman" w:eastAsia="楷体_GB2312" w:cs="Times New Roman"/>
                <w:spacing w:val="-4"/>
                <w:kern w:val="0"/>
                <w:sz w:val="24"/>
                <w:szCs w:val="24"/>
              </w:rPr>
              <w:t>应至少明确一座协同应急处置设施，</w:t>
            </w:r>
            <w:r>
              <w:rPr>
                <w:rFonts w:hint="default" w:ascii="Times New Roman" w:hAnsi="Times New Roman" w:eastAsia="楷体_GB2312" w:cs="Times New Roman"/>
                <w:spacing w:val="-4"/>
                <w:kern w:val="0"/>
                <w:sz w:val="24"/>
                <w:szCs w:val="24"/>
                <w:lang w:eastAsia="zh-CN"/>
              </w:rPr>
              <w:t>并制定</w:t>
            </w:r>
            <w:r>
              <w:rPr>
                <w:rFonts w:hint="default" w:ascii="Times New Roman" w:hAnsi="Times New Roman" w:eastAsia="楷体_GB2312" w:cs="Times New Roman"/>
                <w:spacing w:val="-4"/>
                <w:kern w:val="0"/>
                <w:sz w:val="24"/>
                <w:szCs w:val="24"/>
              </w:rPr>
              <w:t>该设施应急状态的管理流程和规则</w:t>
            </w:r>
            <w:r>
              <w:rPr>
                <w:rFonts w:hint="default" w:ascii="Times New Roman" w:hAnsi="Times New Roman" w:eastAsia="楷体_GB2312" w:cs="Times New Roman"/>
                <w:spacing w:val="-4"/>
                <w:kern w:val="0"/>
                <w:sz w:val="24"/>
                <w:szCs w:val="24"/>
                <w:lang w:eastAsia="zh-CN"/>
              </w:rPr>
              <w:t>的，得</w:t>
            </w:r>
            <w:r>
              <w:rPr>
                <w:rFonts w:hint="default" w:ascii="Times New Roman" w:hAnsi="Times New Roman" w:eastAsia="楷体_GB2312" w:cs="Times New Roman"/>
                <w:spacing w:val="-4"/>
                <w:kern w:val="0"/>
                <w:sz w:val="24"/>
                <w:szCs w:val="24"/>
                <w:lang w:val="en-US" w:eastAsia="zh-CN"/>
              </w:rPr>
              <w:t>2分。否则不得分。</w:t>
            </w:r>
          </w:p>
        </w:tc>
        <w:tc>
          <w:tcPr>
            <w:tcW w:w="1325" w:type="dxa"/>
            <w:noWrap w:val="0"/>
            <w:vAlign w:val="center"/>
          </w:tcPr>
          <w:p w14:paraId="330E2DBE">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查阅相关资料和现场核查</w:t>
            </w:r>
          </w:p>
        </w:tc>
      </w:tr>
      <w:tr w14:paraId="2307F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noWrap w:val="0"/>
            <w:vAlign w:val="center"/>
          </w:tcPr>
          <w:p w14:paraId="2C856687">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企业评估</w:t>
            </w:r>
          </w:p>
          <w:p w14:paraId="3DD3EEF1">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合格率</w:t>
            </w:r>
          </w:p>
        </w:tc>
        <w:tc>
          <w:tcPr>
            <w:tcW w:w="1144" w:type="dxa"/>
            <w:noWrap w:val="0"/>
            <w:vAlign w:val="center"/>
          </w:tcPr>
          <w:p w14:paraId="42DFFAB6">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产废单位和经营单位危险废物规范化环境管理情况</w:t>
            </w:r>
          </w:p>
        </w:tc>
        <w:tc>
          <w:tcPr>
            <w:tcW w:w="709" w:type="dxa"/>
            <w:noWrap w:val="0"/>
            <w:vAlign w:val="center"/>
          </w:tcPr>
          <w:p w14:paraId="06DD928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60</w:t>
            </w:r>
          </w:p>
        </w:tc>
        <w:tc>
          <w:tcPr>
            <w:tcW w:w="2268" w:type="dxa"/>
            <w:noWrap w:val="0"/>
            <w:vAlign w:val="center"/>
          </w:tcPr>
          <w:p w14:paraId="6C1631C6">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按照《危险废物规范化环境管理评估指标（工业危险废物产生单位、危险废物经营单位）》执行。</w:t>
            </w:r>
          </w:p>
          <w:p w14:paraId="508E3319">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（60分）</w:t>
            </w:r>
          </w:p>
        </w:tc>
        <w:tc>
          <w:tcPr>
            <w:tcW w:w="7992" w:type="dxa"/>
            <w:noWrap w:val="0"/>
            <w:vAlign w:val="center"/>
          </w:tcPr>
          <w:p w14:paraId="5FC1B63D">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60×（0.6×产废单位危险废物规范化环境管理评估合格率+0.4×经营单位危险废物规范化环境管理评估合格率）</w:t>
            </w:r>
          </w:p>
        </w:tc>
        <w:tc>
          <w:tcPr>
            <w:tcW w:w="1325" w:type="dxa"/>
            <w:noWrap w:val="0"/>
            <w:vAlign w:val="center"/>
          </w:tcPr>
          <w:p w14:paraId="2AD106E1">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查阅相关资料、实地评估</w:t>
            </w:r>
          </w:p>
        </w:tc>
      </w:tr>
      <w:tr w14:paraId="5BE02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noWrap w:val="0"/>
            <w:vAlign w:val="center"/>
          </w:tcPr>
          <w:p w14:paraId="0F3D6D77">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p w14:paraId="4212BDC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加分项</w:t>
            </w:r>
          </w:p>
          <w:p w14:paraId="628A1F7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p>
        </w:tc>
        <w:tc>
          <w:tcPr>
            <w:tcW w:w="12113" w:type="dxa"/>
            <w:gridSpan w:val="4"/>
            <w:noWrap w:val="0"/>
            <w:vAlign w:val="center"/>
          </w:tcPr>
          <w:p w14:paraId="5BF65FAD">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w:t>
            </w:r>
            <w:r>
              <w:rPr>
                <w:rFonts w:hint="default" w:ascii="Times New Roman" w:hAnsi="Times New Roman" w:eastAsia="楷体_GB2312" w:cs="Times New Roman"/>
                <w:spacing w:val="-4"/>
                <w:kern w:val="0"/>
                <w:sz w:val="24"/>
                <w:szCs w:val="24"/>
                <w:lang w:eastAsia="zh-CN"/>
              </w:rPr>
              <w:t>地级以上市</w:t>
            </w:r>
            <w:r>
              <w:rPr>
                <w:rFonts w:hint="default" w:ascii="Times New Roman" w:hAnsi="Times New Roman" w:eastAsia="楷体_GB2312" w:cs="Times New Roman"/>
                <w:spacing w:val="-4"/>
                <w:kern w:val="0"/>
                <w:sz w:val="24"/>
                <w:szCs w:val="24"/>
              </w:rPr>
              <w:t>级党委或政府（包括经省级党委或政府同意）将危险废物集中处置设施纳入当地公共基础设施统筹建设，</w:t>
            </w:r>
            <w:r>
              <w:rPr>
                <w:rFonts w:hint="default" w:ascii="Times New Roman" w:hAnsi="Times New Roman" w:eastAsia="楷体_GB2312" w:cs="Times New Roman"/>
                <w:spacing w:val="-4"/>
                <w:kern w:val="0"/>
                <w:sz w:val="24"/>
                <w:szCs w:val="24"/>
                <w:lang w:eastAsia="zh-CN"/>
              </w:rPr>
              <w:t>对</w:t>
            </w:r>
            <w:r>
              <w:rPr>
                <w:rFonts w:hint="default" w:ascii="Times New Roman" w:hAnsi="Times New Roman" w:eastAsia="楷体_GB2312" w:cs="Times New Roman"/>
                <w:spacing w:val="-4"/>
                <w:kern w:val="0"/>
                <w:sz w:val="24"/>
                <w:szCs w:val="24"/>
              </w:rPr>
              <w:t>集中焚烧</w:t>
            </w:r>
            <w:r>
              <w:rPr>
                <w:rFonts w:hint="default" w:ascii="Times New Roman" w:hAnsi="Times New Roman" w:eastAsia="楷体_GB2312" w:cs="Times New Roman"/>
                <w:spacing w:val="-4"/>
                <w:kern w:val="0"/>
                <w:sz w:val="24"/>
                <w:szCs w:val="24"/>
                <w:lang w:eastAsia="zh-CN"/>
              </w:rPr>
              <w:t>、</w:t>
            </w:r>
            <w:r>
              <w:rPr>
                <w:rFonts w:hint="default" w:ascii="Times New Roman" w:hAnsi="Times New Roman" w:eastAsia="楷体_GB2312" w:cs="Times New Roman"/>
                <w:spacing w:val="-4"/>
                <w:kern w:val="0"/>
                <w:sz w:val="24"/>
                <w:szCs w:val="24"/>
              </w:rPr>
              <w:t>填埋处置</w:t>
            </w:r>
            <w:r>
              <w:rPr>
                <w:rFonts w:hint="default" w:ascii="Times New Roman" w:hAnsi="Times New Roman" w:eastAsia="楷体_GB2312" w:cs="Times New Roman"/>
                <w:spacing w:val="-4"/>
                <w:kern w:val="0"/>
                <w:sz w:val="24"/>
                <w:szCs w:val="24"/>
                <w:lang w:eastAsia="zh-CN"/>
              </w:rPr>
              <w:t>项目予以</w:t>
            </w:r>
            <w:r>
              <w:rPr>
                <w:rFonts w:hint="default" w:ascii="Times New Roman" w:hAnsi="Times New Roman" w:eastAsia="楷体_GB2312" w:cs="Times New Roman"/>
                <w:spacing w:val="-4"/>
                <w:kern w:val="0"/>
                <w:sz w:val="24"/>
                <w:szCs w:val="24"/>
              </w:rPr>
              <w:t>税收、资金投入</w:t>
            </w:r>
            <w:r>
              <w:rPr>
                <w:rFonts w:hint="default" w:ascii="Times New Roman" w:hAnsi="Times New Roman" w:eastAsia="楷体_GB2312" w:cs="Times New Roman"/>
                <w:spacing w:val="-4"/>
                <w:kern w:val="0"/>
                <w:sz w:val="24"/>
                <w:szCs w:val="24"/>
                <w:lang w:eastAsia="zh-CN"/>
              </w:rPr>
              <w:t>、</w:t>
            </w:r>
            <w:r>
              <w:rPr>
                <w:rFonts w:hint="default" w:ascii="Times New Roman" w:hAnsi="Times New Roman" w:eastAsia="楷体_GB2312" w:cs="Times New Roman"/>
                <w:spacing w:val="-4"/>
                <w:kern w:val="0"/>
                <w:sz w:val="24"/>
                <w:szCs w:val="24"/>
              </w:rPr>
              <w:t>建设用地等方面保障</w:t>
            </w:r>
            <w:r>
              <w:rPr>
                <w:rFonts w:hint="default" w:ascii="Times New Roman" w:hAnsi="Times New Roman" w:eastAsia="楷体_GB2312" w:cs="Times New Roman"/>
                <w:spacing w:val="-4"/>
                <w:kern w:val="0"/>
                <w:sz w:val="24"/>
                <w:szCs w:val="24"/>
                <w:lang w:eastAsia="zh-CN"/>
              </w:rPr>
              <w:t>的</w:t>
            </w:r>
            <w:r>
              <w:rPr>
                <w:rFonts w:hint="default" w:ascii="Times New Roman" w:hAnsi="Times New Roman" w:eastAsia="楷体_GB2312" w:cs="Times New Roman"/>
                <w:spacing w:val="-4"/>
                <w:kern w:val="0"/>
                <w:sz w:val="24"/>
                <w:szCs w:val="24"/>
              </w:rPr>
              <w:t>，</w:t>
            </w:r>
            <w:r>
              <w:rPr>
                <w:rFonts w:hint="default" w:ascii="Times New Roman" w:hAnsi="Times New Roman" w:eastAsia="楷体_GB2312" w:cs="Times New Roman"/>
                <w:spacing w:val="-4"/>
                <w:kern w:val="0"/>
                <w:sz w:val="24"/>
                <w:szCs w:val="24"/>
                <w:lang w:eastAsia="zh-CN"/>
              </w:rPr>
              <w:t>每有</w:t>
            </w:r>
            <w:r>
              <w:rPr>
                <w:rFonts w:hint="default" w:ascii="Times New Roman" w:hAnsi="Times New Roman" w:eastAsia="楷体_GB2312" w:cs="Times New Roman"/>
                <w:spacing w:val="-4"/>
                <w:kern w:val="0"/>
                <w:sz w:val="24"/>
                <w:szCs w:val="24"/>
                <w:lang w:val="en-US" w:eastAsia="zh-CN"/>
              </w:rPr>
              <w:t>1项得1分，最多</w:t>
            </w:r>
            <w:r>
              <w:rPr>
                <w:rFonts w:hint="default" w:ascii="Times New Roman" w:hAnsi="Times New Roman" w:eastAsia="楷体_GB2312" w:cs="Times New Roman"/>
                <w:spacing w:val="-4"/>
                <w:kern w:val="0"/>
                <w:sz w:val="24"/>
                <w:szCs w:val="24"/>
                <w:lang w:eastAsia="zh-CN"/>
              </w:rPr>
              <w:t>加</w:t>
            </w:r>
            <w:r>
              <w:rPr>
                <w:rFonts w:hint="default" w:ascii="Times New Roman" w:hAnsi="Times New Roman" w:eastAsia="楷体_GB2312" w:cs="Times New Roman"/>
                <w:spacing w:val="-4"/>
                <w:kern w:val="0"/>
                <w:sz w:val="24"/>
                <w:szCs w:val="24"/>
                <w:lang w:val="en-US" w:eastAsia="zh-CN"/>
              </w:rPr>
              <w:t>2</w:t>
            </w:r>
            <w:r>
              <w:rPr>
                <w:rFonts w:hint="default" w:ascii="Times New Roman" w:hAnsi="Times New Roman" w:eastAsia="楷体_GB2312" w:cs="Times New Roman"/>
                <w:spacing w:val="-4"/>
                <w:kern w:val="0"/>
                <w:sz w:val="24"/>
                <w:szCs w:val="24"/>
              </w:rPr>
              <w:t>分。</w:t>
            </w:r>
          </w:p>
          <w:p w14:paraId="3ED19F4E">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w:t>
            </w:r>
            <w:r>
              <w:rPr>
                <w:rFonts w:hint="default" w:ascii="Times New Roman" w:hAnsi="Times New Roman" w:eastAsia="楷体_GB2312" w:cs="Times New Roman"/>
                <w:spacing w:val="-4"/>
                <w:kern w:val="0"/>
                <w:sz w:val="24"/>
                <w:szCs w:val="24"/>
                <w:lang w:eastAsia="zh-CN"/>
              </w:rPr>
              <w:t>地级以上市</w:t>
            </w:r>
            <w:r>
              <w:rPr>
                <w:rFonts w:hint="default" w:ascii="Times New Roman" w:hAnsi="Times New Roman" w:eastAsia="楷体_GB2312" w:cs="Times New Roman"/>
                <w:spacing w:val="-4"/>
                <w:kern w:val="0"/>
                <w:sz w:val="24"/>
                <w:szCs w:val="24"/>
              </w:rPr>
              <w:t>生态环境</w:t>
            </w:r>
            <w:r>
              <w:rPr>
                <w:rFonts w:hint="default" w:ascii="Times New Roman" w:hAnsi="Times New Roman" w:eastAsia="楷体_GB2312" w:cs="Times New Roman"/>
                <w:spacing w:val="-4"/>
                <w:kern w:val="0"/>
                <w:sz w:val="24"/>
                <w:szCs w:val="24"/>
                <w:lang w:eastAsia="zh-CN"/>
              </w:rPr>
              <w:t>局</w:t>
            </w:r>
            <w:r>
              <w:rPr>
                <w:rFonts w:hint="default" w:ascii="Times New Roman" w:hAnsi="Times New Roman" w:eastAsia="楷体_GB2312" w:cs="Times New Roman"/>
                <w:spacing w:val="-4"/>
                <w:kern w:val="0"/>
                <w:sz w:val="24"/>
                <w:szCs w:val="24"/>
              </w:rPr>
              <w:t>部署开展本地区危险废物污染防治专项工作（如开展危险废物环境风险隐患排查），定期发布危险废物相关信息科学引导危险废物利用处置产业发展，建立危险废物经营许可证审批与环境影响评价文件审批的有效衔接机制，将举报危险废物非法转移、倾倒、处置等列入重点奖励范围，制定本地区或参与制定国家</w:t>
            </w:r>
            <w:r>
              <w:rPr>
                <w:rFonts w:hint="default" w:ascii="Times New Roman" w:hAnsi="Times New Roman" w:eastAsia="楷体_GB2312" w:cs="Times New Roman"/>
                <w:spacing w:val="-4"/>
                <w:kern w:val="0"/>
                <w:sz w:val="24"/>
                <w:szCs w:val="24"/>
                <w:lang w:eastAsia="zh-CN"/>
              </w:rPr>
              <w:t>、省</w:t>
            </w:r>
            <w:r>
              <w:rPr>
                <w:rFonts w:hint="default" w:ascii="Times New Roman" w:hAnsi="Times New Roman" w:eastAsia="楷体_GB2312" w:cs="Times New Roman"/>
                <w:spacing w:val="-4"/>
                <w:kern w:val="0"/>
                <w:sz w:val="24"/>
                <w:szCs w:val="24"/>
              </w:rPr>
              <w:t>重点行业或类别的危险废物环境管理指南等，</w:t>
            </w:r>
            <w:r>
              <w:rPr>
                <w:rFonts w:hint="default" w:ascii="Times New Roman" w:hAnsi="Times New Roman" w:eastAsia="楷体_GB2312" w:cs="Times New Roman"/>
                <w:spacing w:val="-4"/>
                <w:kern w:val="0"/>
                <w:sz w:val="24"/>
                <w:szCs w:val="24"/>
                <w:lang w:eastAsia="zh-CN"/>
              </w:rPr>
              <w:t>完成辖区内</w:t>
            </w:r>
            <w:r>
              <w:rPr>
                <w:rFonts w:hint="default" w:ascii="Times New Roman" w:hAnsi="Times New Roman" w:eastAsia="楷体_GB2312" w:cs="Times New Roman"/>
                <w:spacing w:val="-4"/>
                <w:kern w:val="0"/>
                <w:sz w:val="24"/>
                <w:szCs w:val="24"/>
                <w:highlight w:val="none"/>
                <w:lang w:eastAsia="zh-CN"/>
              </w:rPr>
              <w:t>省固体废物环境管理信息平台中无效数据清理（如：注销企业数据、申报登记与转移联单数据不一致等）。</w:t>
            </w:r>
            <w:r>
              <w:rPr>
                <w:rFonts w:hint="default" w:ascii="Times New Roman" w:hAnsi="Times New Roman" w:eastAsia="楷体_GB2312" w:cs="Times New Roman"/>
                <w:spacing w:val="-4"/>
                <w:kern w:val="0"/>
                <w:sz w:val="24"/>
                <w:szCs w:val="24"/>
              </w:rPr>
              <w:t>每有1项得0.5分</w:t>
            </w:r>
            <w:r>
              <w:rPr>
                <w:rFonts w:hint="default" w:ascii="Times New Roman" w:hAnsi="Times New Roman" w:eastAsia="楷体_GB2312" w:cs="Times New Roman"/>
                <w:spacing w:val="-4"/>
                <w:kern w:val="0"/>
                <w:sz w:val="24"/>
                <w:szCs w:val="24"/>
                <w:lang w:eastAsia="zh-CN"/>
              </w:rPr>
              <w:t>，最多加</w:t>
            </w:r>
            <w:r>
              <w:rPr>
                <w:rFonts w:hint="default" w:ascii="Times New Roman" w:hAnsi="Times New Roman" w:eastAsia="楷体_GB2312" w:cs="Times New Roman"/>
                <w:spacing w:val="-4"/>
                <w:kern w:val="0"/>
                <w:sz w:val="24"/>
                <w:szCs w:val="24"/>
                <w:lang w:val="en-US" w:eastAsia="zh-CN"/>
              </w:rPr>
              <w:t>3分</w:t>
            </w:r>
            <w:r>
              <w:rPr>
                <w:rFonts w:hint="default" w:ascii="Times New Roman" w:hAnsi="Times New Roman" w:eastAsia="楷体_GB2312" w:cs="Times New Roman"/>
                <w:spacing w:val="-4"/>
                <w:kern w:val="0"/>
                <w:sz w:val="24"/>
                <w:szCs w:val="24"/>
              </w:rPr>
              <w:t>。</w:t>
            </w:r>
          </w:p>
        </w:tc>
        <w:tc>
          <w:tcPr>
            <w:tcW w:w="1325" w:type="dxa"/>
            <w:noWrap w:val="0"/>
            <w:vAlign w:val="center"/>
          </w:tcPr>
          <w:p w14:paraId="29A820FC">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p>
          <w:p w14:paraId="3D3E30EB">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p>
          <w:p w14:paraId="24165EE6">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查阅相关资料和现场核查</w:t>
            </w:r>
          </w:p>
        </w:tc>
      </w:tr>
      <w:tr w14:paraId="048D4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117" w:type="dxa"/>
            <w:noWrap w:val="0"/>
            <w:vAlign w:val="center"/>
          </w:tcPr>
          <w:p w14:paraId="1A36FEB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扣分项</w:t>
            </w:r>
          </w:p>
        </w:tc>
        <w:tc>
          <w:tcPr>
            <w:tcW w:w="12113" w:type="dxa"/>
            <w:gridSpan w:val="4"/>
            <w:noWrap w:val="0"/>
            <w:vAlign w:val="center"/>
          </w:tcPr>
          <w:p w14:paraId="63BDEBDB">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highlight w:val="none"/>
              </w:rPr>
            </w:pPr>
            <w:r>
              <w:rPr>
                <w:rFonts w:hint="default" w:ascii="Times New Roman" w:hAnsi="Times New Roman" w:eastAsia="楷体_GB2312" w:cs="Times New Roman"/>
                <w:spacing w:val="-4"/>
                <w:kern w:val="0"/>
                <w:sz w:val="24"/>
                <w:szCs w:val="24"/>
                <w:highlight w:val="none"/>
              </w:rPr>
              <w:t>A.未严格按照危险废物许可证管理相关文件规定核发危险废物经营许可证</w:t>
            </w:r>
            <w:r>
              <w:rPr>
                <w:rFonts w:hint="default" w:ascii="Times New Roman" w:hAnsi="Times New Roman" w:eastAsia="楷体_GB2312" w:cs="Times New Roman"/>
                <w:spacing w:val="-4"/>
                <w:kern w:val="0"/>
                <w:sz w:val="24"/>
                <w:szCs w:val="24"/>
                <w:highlight w:val="none"/>
                <w:lang w:eastAsia="zh-CN"/>
              </w:rPr>
              <w:t>（含收集、医疗废物、委托事项）。</w:t>
            </w:r>
            <w:r>
              <w:rPr>
                <w:rFonts w:hint="default" w:ascii="Times New Roman" w:hAnsi="Times New Roman" w:eastAsia="楷体_GB2312" w:cs="Times New Roman"/>
                <w:spacing w:val="-4"/>
                <w:kern w:val="0"/>
                <w:sz w:val="24"/>
                <w:szCs w:val="24"/>
                <w:highlight w:val="none"/>
              </w:rPr>
              <w:t>发现1份不按照规定核发的</w:t>
            </w:r>
            <w:r>
              <w:rPr>
                <w:rFonts w:hint="default" w:ascii="Times New Roman" w:hAnsi="Times New Roman" w:eastAsia="楷体_GB2312" w:cs="Times New Roman"/>
                <w:spacing w:val="-4"/>
                <w:kern w:val="0"/>
                <w:sz w:val="24"/>
                <w:szCs w:val="24"/>
                <w:highlight w:val="none"/>
                <w:lang w:eastAsia="zh-CN"/>
              </w:rPr>
              <w:t>，</w:t>
            </w:r>
            <w:r>
              <w:rPr>
                <w:rFonts w:hint="default" w:ascii="Times New Roman" w:hAnsi="Times New Roman" w:eastAsia="楷体_GB2312" w:cs="Times New Roman"/>
                <w:spacing w:val="-4"/>
                <w:kern w:val="0"/>
                <w:sz w:val="24"/>
                <w:szCs w:val="24"/>
                <w:highlight w:val="none"/>
              </w:rPr>
              <w:t>扣</w:t>
            </w:r>
            <w:r>
              <w:rPr>
                <w:rFonts w:hint="default" w:ascii="Times New Roman" w:hAnsi="Times New Roman" w:eastAsia="楷体_GB2312" w:cs="Times New Roman"/>
                <w:spacing w:val="-4"/>
                <w:kern w:val="0"/>
                <w:sz w:val="24"/>
                <w:szCs w:val="24"/>
                <w:highlight w:val="none"/>
                <w:lang w:val="en-US" w:eastAsia="zh-CN"/>
              </w:rPr>
              <w:t>5</w:t>
            </w:r>
            <w:r>
              <w:rPr>
                <w:rFonts w:hint="default" w:ascii="Times New Roman" w:hAnsi="Times New Roman" w:eastAsia="楷体_GB2312" w:cs="Times New Roman"/>
                <w:spacing w:val="-4"/>
                <w:kern w:val="0"/>
                <w:sz w:val="24"/>
                <w:szCs w:val="24"/>
                <w:highlight w:val="none"/>
              </w:rPr>
              <w:t>分。</w:t>
            </w:r>
          </w:p>
          <w:p w14:paraId="4BD0B1EC">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highlight w:val="none"/>
              </w:rPr>
              <w:t>B.生态环境部挂牌督办或查办的危险废物环境违法案件，在限期内未解除挂牌督办或未办结的</w:t>
            </w:r>
            <w:r>
              <w:rPr>
                <w:rFonts w:hint="default" w:ascii="Times New Roman" w:hAnsi="Times New Roman" w:eastAsia="楷体_GB2312" w:cs="Times New Roman"/>
                <w:spacing w:val="-4"/>
                <w:kern w:val="0"/>
                <w:sz w:val="24"/>
                <w:szCs w:val="24"/>
                <w:highlight w:val="none"/>
                <w:lang w:eastAsia="zh-CN"/>
              </w:rPr>
              <w:t>，</w:t>
            </w:r>
            <w:r>
              <w:rPr>
                <w:rFonts w:hint="default" w:ascii="Times New Roman" w:hAnsi="Times New Roman" w:eastAsia="楷体_GB2312" w:cs="Times New Roman"/>
                <w:spacing w:val="-4"/>
                <w:kern w:val="0"/>
                <w:sz w:val="24"/>
                <w:szCs w:val="24"/>
                <w:highlight w:val="none"/>
              </w:rPr>
              <w:t>每起案件扣3分。限期内未解除挂牌督办或未办结的案件数量达到总案件量25%以上的，评估结果直接判定为C。</w:t>
            </w:r>
          </w:p>
        </w:tc>
        <w:tc>
          <w:tcPr>
            <w:tcW w:w="1325" w:type="dxa"/>
            <w:noWrap w:val="0"/>
            <w:vAlign w:val="center"/>
          </w:tcPr>
          <w:p w14:paraId="4AE32A12">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查阅相关资料、实地评估</w:t>
            </w:r>
          </w:p>
        </w:tc>
      </w:tr>
      <w:tr w14:paraId="303F7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2261" w:type="dxa"/>
            <w:gridSpan w:val="2"/>
            <w:noWrap w:val="0"/>
            <w:vAlign w:val="center"/>
          </w:tcPr>
          <w:p w14:paraId="7D8D7C2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b/>
                <w:bCs/>
                <w:spacing w:val="-4"/>
                <w:kern w:val="0"/>
                <w:sz w:val="24"/>
                <w:szCs w:val="24"/>
              </w:rPr>
              <w:t>评估得分</w:t>
            </w:r>
          </w:p>
        </w:tc>
        <w:tc>
          <w:tcPr>
            <w:tcW w:w="2977" w:type="dxa"/>
            <w:gridSpan w:val="2"/>
            <w:noWrap w:val="0"/>
            <w:vAlign w:val="center"/>
          </w:tcPr>
          <w:p w14:paraId="029128AE">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p>
        </w:tc>
        <w:tc>
          <w:tcPr>
            <w:tcW w:w="9317" w:type="dxa"/>
            <w:gridSpan w:val="2"/>
            <w:noWrap w:val="0"/>
            <w:vAlign w:val="center"/>
          </w:tcPr>
          <w:p w14:paraId="65DAB6D1">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b/>
                <w:bCs/>
                <w:spacing w:val="-4"/>
                <w:kern w:val="0"/>
                <w:sz w:val="24"/>
                <w:szCs w:val="24"/>
              </w:rPr>
              <w:t>评估结果：A  □   B  □   C  □</w:t>
            </w:r>
          </w:p>
        </w:tc>
      </w:tr>
      <w:tr w14:paraId="4501E0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63" w:hRule="atLeast"/>
        </w:trPr>
        <w:tc>
          <w:tcPr>
            <w:tcW w:w="14555" w:type="dxa"/>
            <w:gridSpan w:val="6"/>
            <w:noWrap w:val="0"/>
            <w:vAlign w:val="center"/>
          </w:tcPr>
          <w:p w14:paraId="11612B9A">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说明：</w:t>
            </w:r>
          </w:p>
          <w:p w14:paraId="2D2A065A">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1.评估内容不适用的，计为0分，并将该项分值从满分中扣除后，按比例换算评估结果。</w:t>
            </w:r>
          </w:p>
          <w:p w14:paraId="3A445DB3">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2.加分项目以当年是否开展为准，往年度已加分的不再重复加分。加分项最多不超过5分。</w:t>
            </w:r>
          </w:p>
          <w:p w14:paraId="1C5039F7">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3.产废单位危险废物规范化环境管理评估合格率＝（经评估达标的危险废物产废单位数量+0.7×经评估基本达标的危险废物产废单位数量）÷危险废物产废单位抽取总数量。</w:t>
            </w:r>
          </w:p>
          <w:p w14:paraId="4622D6E1">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4.经营单位危险废物规范化环境管理评估合格率＝（经评估达标的危险废物经营单位数量+0.7×经评估基本达标的危险废物经营单位数量）÷危险废物经营单位抽取总数量。</w:t>
            </w:r>
          </w:p>
          <w:p w14:paraId="1898B0DB">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5.评估方式</w:t>
            </w:r>
          </w:p>
          <w:p w14:paraId="08A7B80B">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评估实行百分制评分</w:t>
            </w:r>
            <w:r>
              <w:rPr>
                <w:rFonts w:hint="default" w:ascii="Times New Roman" w:hAnsi="Times New Roman" w:eastAsia="楷体_GB2312" w:cs="Times New Roman"/>
                <w:spacing w:val="-4"/>
                <w:kern w:val="0"/>
                <w:sz w:val="24"/>
                <w:szCs w:val="24"/>
                <w:lang w:eastAsia="zh-CN"/>
              </w:rPr>
              <w:t>。</w:t>
            </w:r>
            <w:r>
              <w:rPr>
                <w:rFonts w:hint="default" w:ascii="Times New Roman" w:hAnsi="Times New Roman" w:eastAsia="楷体_GB2312" w:cs="Times New Roman"/>
                <w:spacing w:val="-4"/>
                <w:kern w:val="0"/>
                <w:sz w:val="24"/>
                <w:szCs w:val="24"/>
              </w:rPr>
              <w:t>评估结果分为3个等级（以上包括本数，以下不包括本数）：</w:t>
            </w:r>
          </w:p>
          <w:p w14:paraId="1366A21A">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spacing w:val="-4"/>
                <w:kern w:val="0"/>
                <w:sz w:val="24"/>
                <w:szCs w:val="24"/>
              </w:rPr>
              <w:t>得分90分以上为A；得分60分以上90分以下为B；得分60分以下为C。</w:t>
            </w:r>
          </w:p>
        </w:tc>
      </w:tr>
    </w:tbl>
    <w:p w14:paraId="6F830007">
      <w:pPr>
        <w:bidi w:val="0"/>
        <w:rPr>
          <w:sz w:val="32"/>
          <w:szCs w:val="32"/>
        </w:rPr>
      </w:pPr>
      <w:r>
        <w:br w:type="page"/>
      </w:r>
    </w:p>
    <w:p w14:paraId="1C55BEE0">
      <w:pPr>
        <w:autoSpaceDE w:val="0"/>
        <w:autoSpaceDN w:val="0"/>
        <w:adjustRightInd w:val="0"/>
        <w:snapToGrid w:val="0"/>
        <w:jc w:val="center"/>
        <w:rPr>
          <w:rFonts w:hint="eastAsia" w:ascii="方正小标宋_GBK" w:eastAsia="方正小标宋_GBK"/>
          <w:bCs/>
          <w:kern w:val="0"/>
          <w:sz w:val="38"/>
          <w:szCs w:val="38"/>
        </w:rPr>
      </w:pPr>
      <w:r>
        <w:rPr>
          <w:rFonts w:hint="eastAsia" w:ascii="方正小标宋_GBK" w:eastAsia="方正小标宋_GBK"/>
          <w:bCs/>
          <w:kern w:val="0"/>
          <w:sz w:val="38"/>
          <w:szCs w:val="38"/>
        </w:rPr>
        <w:t>表2  危险废物规范化环境管理评估指标（工业危险废物产生单位）</w:t>
      </w:r>
    </w:p>
    <w:tbl>
      <w:tblPr>
        <w:tblStyle w:val="5"/>
        <w:tblW w:w="1469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11"/>
        <w:gridCol w:w="1481"/>
        <w:gridCol w:w="455"/>
        <w:gridCol w:w="696"/>
        <w:gridCol w:w="696"/>
        <w:gridCol w:w="1947"/>
        <w:gridCol w:w="144"/>
        <w:gridCol w:w="5200"/>
        <w:gridCol w:w="2150"/>
        <w:gridCol w:w="614"/>
      </w:tblGrid>
      <w:tr w14:paraId="23475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blHeader/>
        </w:trPr>
        <w:tc>
          <w:tcPr>
            <w:tcW w:w="1311" w:type="dxa"/>
            <w:vMerge w:val="restart"/>
            <w:noWrap w:val="0"/>
            <w:vAlign w:val="center"/>
          </w:tcPr>
          <w:p w14:paraId="45F678B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评估项目</w:t>
            </w:r>
          </w:p>
        </w:tc>
        <w:tc>
          <w:tcPr>
            <w:tcW w:w="1936" w:type="dxa"/>
            <w:gridSpan w:val="2"/>
            <w:vMerge w:val="restart"/>
            <w:noWrap w:val="0"/>
            <w:vAlign w:val="center"/>
          </w:tcPr>
          <w:p w14:paraId="3EFDCC0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评估主要内容</w:t>
            </w:r>
          </w:p>
        </w:tc>
        <w:tc>
          <w:tcPr>
            <w:tcW w:w="1392" w:type="dxa"/>
            <w:gridSpan w:val="2"/>
            <w:noWrap w:val="0"/>
            <w:vAlign w:val="center"/>
          </w:tcPr>
          <w:p w14:paraId="6E33BEE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分数</w:t>
            </w:r>
          </w:p>
        </w:tc>
        <w:tc>
          <w:tcPr>
            <w:tcW w:w="2091" w:type="dxa"/>
            <w:gridSpan w:val="2"/>
            <w:vMerge w:val="restart"/>
            <w:noWrap w:val="0"/>
            <w:vAlign w:val="center"/>
          </w:tcPr>
          <w:p w14:paraId="55B4D63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评估标准</w:t>
            </w:r>
          </w:p>
        </w:tc>
        <w:tc>
          <w:tcPr>
            <w:tcW w:w="5200" w:type="dxa"/>
            <w:vMerge w:val="restart"/>
            <w:noWrap w:val="0"/>
            <w:vAlign w:val="center"/>
          </w:tcPr>
          <w:p w14:paraId="4C8E1BB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   分   要   点</w:t>
            </w:r>
          </w:p>
        </w:tc>
        <w:tc>
          <w:tcPr>
            <w:tcW w:w="2150" w:type="dxa"/>
            <w:vMerge w:val="restart"/>
            <w:noWrap w:val="0"/>
            <w:vAlign w:val="center"/>
          </w:tcPr>
          <w:p w14:paraId="4BC58FE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评估方法</w:t>
            </w:r>
          </w:p>
        </w:tc>
        <w:tc>
          <w:tcPr>
            <w:tcW w:w="614" w:type="dxa"/>
            <w:vMerge w:val="restart"/>
            <w:noWrap w:val="0"/>
            <w:vAlign w:val="center"/>
          </w:tcPr>
          <w:p w14:paraId="5DF6423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备注</w:t>
            </w:r>
          </w:p>
        </w:tc>
      </w:tr>
      <w:tr w14:paraId="0FE48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blHeader/>
        </w:trPr>
        <w:tc>
          <w:tcPr>
            <w:tcW w:w="1311" w:type="dxa"/>
            <w:vMerge w:val="continue"/>
            <w:noWrap w:val="0"/>
            <w:vAlign w:val="center"/>
          </w:tcPr>
          <w:p w14:paraId="5ABB9243">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exact"/>
              <w:jc w:val="left"/>
              <w:textAlignment w:val="auto"/>
              <w:outlineLvl w:val="0"/>
              <w:rPr>
                <w:rFonts w:hint="default" w:ascii="Times New Roman" w:hAnsi="Times New Roman" w:eastAsia="楷体_GB2312" w:cs="Times New Roman"/>
                <w:b/>
                <w:bCs/>
                <w:spacing w:val="-4"/>
                <w:kern w:val="0"/>
                <w:sz w:val="24"/>
                <w:szCs w:val="24"/>
              </w:rPr>
            </w:pPr>
          </w:p>
        </w:tc>
        <w:tc>
          <w:tcPr>
            <w:tcW w:w="1936" w:type="dxa"/>
            <w:gridSpan w:val="2"/>
            <w:vMerge w:val="continue"/>
            <w:noWrap w:val="0"/>
            <w:vAlign w:val="center"/>
          </w:tcPr>
          <w:p w14:paraId="452EE63F">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exact"/>
              <w:jc w:val="left"/>
              <w:textAlignment w:val="auto"/>
              <w:outlineLvl w:val="0"/>
              <w:rPr>
                <w:rFonts w:hint="default" w:ascii="Times New Roman" w:hAnsi="Times New Roman" w:eastAsia="楷体_GB2312" w:cs="Times New Roman"/>
                <w:b/>
                <w:bCs/>
                <w:spacing w:val="-4"/>
                <w:kern w:val="0"/>
                <w:sz w:val="24"/>
                <w:szCs w:val="24"/>
              </w:rPr>
            </w:pPr>
          </w:p>
        </w:tc>
        <w:tc>
          <w:tcPr>
            <w:tcW w:w="696" w:type="dxa"/>
            <w:noWrap w:val="0"/>
            <w:vAlign w:val="center"/>
          </w:tcPr>
          <w:p w14:paraId="6E61F22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满分</w:t>
            </w:r>
          </w:p>
        </w:tc>
        <w:tc>
          <w:tcPr>
            <w:tcW w:w="696" w:type="dxa"/>
            <w:noWrap w:val="0"/>
            <w:vAlign w:val="center"/>
          </w:tcPr>
          <w:p w14:paraId="2771DB8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得分</w:t>
            </w:r>
          </w:p>
        </w:tc>
        <w:tc>
          <w:tcPr>
            <w:tcW w:w="2091" w:type="dxa"/>
            <w:gridSpan w:val="2"/>
            <w:vMerge w:val="continue"/>
            <w:noWrap w:val="0"/>
            <w:vAlign w:val="center"/>
          </w:tcPr>
          <w:p w14:paraId="679057AF">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exact"/>
              <w:textAlignment w:val="auto"/>
              <w:outlineLvl w:val="2"/>
              <w:rPr>
                <w:rFonts w:hint="default" w:ascii="Times New Roman" w:hAnsi="Times New Roman" w:eastAsia="楷体_GB2312" w:cs="Times New Roman"/>
                <w:b/>
                <w:bCs/>
                <w:spacing w:val="-4"/>
                <w:kern w:val="0"/>
                <w:sz w:val="24"/>
                <w:szCs w:val="24"/>
              </w:rPr>
            </w:pPr>
          </w:p>
        </w:tc>
        <w:tc>
          <w:tcPr>
            <w:tcW w:w="5200" w:type="dxa"/>
            <w:vMerge w:val="continue"/>
            <w:noWrap w:val="0"/>
            <w:vAlign w:val="center"/>
          </w:tcPr>
          <w:p w14:paraId="29EEC5CE">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exact"/>
              <w:jc w:val="left"/>
              <w:textAlignment w:val="auto"/>
              <w:outlineLvl w:val="2"/>
              <w:rPr>
                <w:rFonts w:hint="default" w:ascii="Times New Roman" w:hAnsi="Times New Roman" w:eastAsia="楷体_GB2312" w:cs="Times New Roman"/>
                <w:b/>
                <w:bCs/>
                <w:spacing w:val="-4"/>
                <w:kern w:val="0"/>
                <w:sz w:val="24"/>
                <w:szCs w:val="24"/>
              </w:rPr>
            </w:pPr>
          </w:p>
        </w:tc>
        <w:tc>
          <w:tcPr>
            <w:tcW w:w="2150" w:type="dxa"/>
            <w:vMerge w:val="continue"/>
            <w:noWrap w:val="0"/>
            <w:vAlign w:val="center"/>
          </w:tcPr>
          <w:p w14:paraId="7E207BD6">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exact"/>
              <w:jc w:val="left"/>
              <w:textAlignment w:val="auto"/>
              <w:outlineLvl w:val="2"/>
              <w:rPr>
                <w:rFonts w:hint="default" w:ascii="Times New Roman" w:hAnsi="Times New Roman" w:eastAsia="楷体_GB2312" w:cs="Times New Roman"/>
                <w:b/>
                <w:bCs/>
                <w:spacing w:val="-4"/>
                <w:kern w:val="0"/>
                <w:sz w:val="24"/>
                <w:szCs w:val="24"/>
              </w:rPr>
            </w:pPr>
          </w:p>
        </w:tc>
        <w:tc>
          <w:tcPr>
            <w:tcW w:w="614" w:type="dxa"/>
            <w:vMerge w:val="continue"/>
            <w:noWrap w:val="0"/>
            <w:vAlign w:val="center"/>
          </w:tcPr>
          <w:p w14:paraId="5B2FCB75">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exact"/>
              <w:jc w:val="left"/>
              <w:textAlignment w:val="auto"/>
              <w:outlineLvl w:val="2"/>
              <w:rPr>
                <w:rFonts w:hint="default" w:ascii="Times New Roman" w:hAnsi="Times New Roman" w:eastAsia="楷体_GB2312" w:cs="Times New Roman"/>
                <w:b/>
                <w:bCs/>
                <w:spacing w:val="-4"/>
                <w:kern w:val="0"/>
                <w:sz w:val="24"/>
                <w:szCs w:val="24"/>
              </w:rPr>
            </w:pPr>
          </w:p>
        </w:tc>
      </w:tr>
      <w:tr w14:paraId="3C28E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64" w:hRule="atLeast"/>
        </w:trPr>
        <w:tc>
          <w:tcPr>
            <w:tcW w:w="1311" w:type="dxa"/>
            <w:vMerge w:val="restart"/>
            <w:noWrap w:val="0"/>
            <w:vAlign w:val="center"/>
          </w:tcPr>
          <w:p w14:paraId="35DF722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一、污染环境防治责任制度（《中华人民共和国固体废物污染环境防治法》，以下简称《固废法》，第三十六条）</w:t>
            </w:r>
          </w:p>
        </w:tc>
        <w:tc>
          <w:tcPr>
            <w:tcW w:w="1936" w:type="dxa"/>
            <w:gridSpan w:val="2"/>
            <w:vMerge w:val="restart"/>
            <w:noWrap w:val="0"/>
            <w:vAlign w:val="center"/>
          </w:tcPr>
          <w:p w14:paraId="59801869">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1.产生工业固体废物的单位应当建立健全工业固体废物产生、收集、贮存、利用、处置全过程的污染环境防治责任制度，采取防治工业固体废物污染环境的措施。</w:t>
            </w:r>
          </w:p>
        </w:tc>
        <w:tc>
          <w:tcPr>
            <w:tcW w:w="696" w:type="dxa"/>
            <w:noWrap w:val="0"/>
            <w:vAlign w:val="center"/>
          </w:tcPr>
          <w:p w14:paraId="0D00AFE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14:paraId="38A4644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2B336F0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建立了涵盖全过程的责任制度，负责人明确，各项责任分解清晰；负责人熟悉危险废物环境管理相关法规、制度、标准、规范；制定的制度得到落实，采取了防治工业固体废物污染环境的措施。</w:t>
            </w:r>
          </w:p>
        </w:tc>
        <w:tc>
          <w:tcPr>
            <w:tcW w:w="5200" w:type="dxa"/>
            <w:noWrap w:val="0"/>
            <w:vAlign w:val="center"/>
          </w:tcPr>
          <w:p w14:paraId="2346172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1.建立了涵盖全过程的责任制度，负责人明确，各项责任分解清晰；负责人熟悉危险废物环境管理相关法规、制度、标准、规范；制定的制度得到落实；采取了防治工业固体废物污染环境的措施。得2分。</w:t>
            </w:r>
          </w:p>
          <w:p w14:paraId="57D523A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2.建立的责任制度未涵盖全过程，但负责人熟悉危险废物环境管理有关制度和本单位的危险废物环境管理情况，且采取了防治工业固体废物污染环境的措施。得1分。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6"/>
                <w:kern w:val="0"/>
                <w:sz w:val="24"/>
                <w:szCs w:val="24"/>
              </w:rPr>
              <w:t>3.未建立责任制度，或负责人不熟悉危险废物环境管理有关制度、不熟悉本单位危险废物环境管理情况，或制定的制度未得到落实、环境管理职责不明确，或未采取防治工业固体废物污染环境的措施、现场管理混乱。得0分。</w:t>
            </w:r>
          </w:p>
        </w:tc>
        <w:tc>
          <w:tcPr>
            <w:tcW w:w="2150" w:type="dxa"/>
            <w:noWrap w:val="0"/>
            <w:vAlign w:val="center"/>
          </w:tcPr>
          <w:p w14:paraId="66ADEAB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查阅相关资料（查看相关管理制度）、现场询问、核查</w:t>
            </w:r>
          </w:p>
        </w:tc>
        <w:tc>
          <w:tcPr>
            <w:tcW w:w="614" w:type="dxa"/>
            <w:noWrap w:val="0"/>
            <w:vAlign w:val="center"/>
          </w:tcPr>
          <w:p w14:paraId="4BC6801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0817F4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7" w:hRule="atLeast"/>
        </w:trPr>
        <w:tc>
          <w:tcPr>
            <w:tcW w:w="1311" w:type="dxa"/>
            <w:vMerge w:val="continue"/>
            <w:noWrap w:val="0"/>
            <w:vAlign w:val="center"/>
          </w:tcPr>
          <w:p w14:paraId="761BB311">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tc>
        <w:tc>
          <w:tcPr>
            <w:tcW w:w="1936" w:type="dxa"/>
            <w:gridSpan w:val="2"/>
            <w:vMerge w:val="continue"/>
            <w:noWrap w:val="0"/>
            <w:vAlign w:val="center"/>
          </w:tcPr>
          <w:p w14:paraId="4453FBDB">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tc>
        <w:tc>
          <w:tcPr>
            <w:tcW w:w="696" w:type="dxa"/>
            <w:noWrap w:val="0"/>
            <w:vAlign w:val="center"/>
          </w:tcPr>
          <w:p w14:paraId="1E33DBC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696" w:type="dxa"/>
            <w:noWrap w:val="0"/>
            <w:vAlign w:val="center"/>
          </w:tcPr>
          <w:p w14:paraId="72B563B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673A044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执行危险废物污染防治责任信息公开制度，在显著位置张贴危险废物污染防治责任信息。</w:t>
            </w:r>
          </w:p>
        </w:tc>
        <w:tc>
          <w:tcPr>
            <w:tcW w:w="5200" w:type="dxa"/>
            <w:noWrap w:val="0"/>
            <w:vAlign w:val="center"/>
          </w:tcPr>
          <w:p w14:paraId="67D5ECD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1.在适当场所的显著位置张贴危险废物污染防治责任信息，且张贴信息能够表明危险废物产生环节、危害特性、去向及责任人等。得1分。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2.未张贴危险废物污染防治责任信息，或张贴场所位置不明显，张贴信息未能明确表明危险废物产生环节、危害特性、去向或责任人等。得0分。</w:t>
            </w:r>
          </w:p>
        </w:tc>
        <w:tc>
          <w:tcPr>
            <w:tcW w:w="2150" w:type="dxa"/>
            <w:noWrap w:val="0"/>
            <w:vAlign w:val="center"/>
          </w:tcPr>
          <w:p w14:paraId="254D7775">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现场核查</w:t>
            </w:r>
          </w:p>
        </w:tc>
        <w:tc>
          <w:tcPr>
            <w:tcW w:w="614" w:type="dxa"/>
            <w:noWrap w:val="0"/>
            <w:vAlign w:val="center"/>
          </w:tcPr>
          <w:p w14:paraId="4C1975C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6F77C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24" w:hRule="atLeast"/>
        </w:trPr>
        <w:tc>
          <w:tcPr>
            <w:tcW w:w="1311" w:type="dxa"/>
            <w:vMerge w:val="restart"/>
            <w:noWrap w:val="0"/>
            <w:vAlign w:val="center"/>
          </w:tcPr>
          <w:p w14:paraId="08CDD42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二、标识制度（《固废法》第七十七条）</w:t>
            </w:r>
          </w:p>
        </w:tc>
        <w:tc>
          <w:tcPr>
            <w:tcW w:w="1936" w:type="dxa"/>
            <w:gridSpan w:val="2"/>
            <w:noWrap w:val="0"/>
            <w:vAlign w:val="center"/>
          </w:tcPr>
          <w:p w14:paraId="6E79F1A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2.危险废物的容器和包装物应当按照规定设置危险废物识别标志。</w:t>
            </w:r>
          </w:p>
        </w:tc>
        <w:tc>
          <w:tcPr>
            <w:tcW w:w="696" w:type="dxa"/>
            <w:noWrap w:val="0"/>
            <w:vAlign w:val="center"/>
          </w:tcPr>
          <w:p w14:paraId="701315C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696" w:type="dxa"/>
            <w:noWrap w:val="0"/>
            <w:vAlign w:val="center"/>
          </w:tcPr>
          <w:p w14:paraId="21E844A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4F5E1AD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依据国家和地方相关标准规范所示标签设置危险废物识别标志。</w:t>
            </w:r>
          </w:p>
        </w:tc>
        <w:tc>
          <w:tcPr>
            <w:tcW w:w="5200" w:type="dxa"/>
            <w:noWrap w:val="0"/>
            <w:vAlign w:val="center"/>
          </w:tcPr>
          <w:p w14:paraId="47FEA48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1.设置了规范的（样式正确、内容填写真实完整）危险废物识别标志。得1分。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2.识别标志样式或填写内容有1处错误。得0.5分。</w:t>
            </w:r>
          </w:p>
          <w:p w14:paraId="51D407E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3.未设置识别标志，或识别标志样式不正确，或填写内容有2处及以上错误。得0分。</w:t>
            </w:r>
          </w:p>
        </w:tc>
        <w:tc>
          <w:tcPr>
            <w:tcW w:w="2150" w:type="dxa"/>
            <w:noWrap w:val="0"/>
            <w:vAlign w:val="center"/>
          </w:tcPr>
          <w:p w14:paraId="12B5A3B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现场核查</w:t>
            </w:r>
          </w:p>
        </w:tc>
        <w:tc>
          <w:tcPr>
            <w:tcW w:w="614" w:type="dxa"/>
            <w:noWrap w:val="0"/>
            <w:vAlign w:val="center"/>
          </w:tcPr>
          <w:p w14:paraId="33F3885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6D09BE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14:paraId="0E41777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14:paraId="7EBD7DB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3.收集、贮存、利用、处置危险废物的设施、场所，应当按照规定设置危险废物识别标志。</w:t>
            </w:r>
          </w:p>
        </w:tc>
        <w:tc>
          <w:tcPr>
            <w:tcW w:w="696" w:type="dxa"/>
            <w:noWrap w:val="0"/>
            <w:vAlign w:val="center"/>
          </w:tcPr>
          <w:p w14:paraId="63E43FB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696" w:type="dxa"/>
            <w:noWrap w:val="0"/>
            <w:vAlign w:val="center"/>
          </w:tcPr>
          <w:p w14:paraId="37EC9C4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51779BA4">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依据国家和地方相关标准规范所示标签和警示标志设置危险废物识别标志。</w:t>
            </w:r>
          </w:p>
        </w:tc>
        <w:tc>
          <w:tcPr>
            <w:tcW w:w="5200" w:type="dxa"/>
            <w:noWrap w:val="0"/>
            <w:vAlign w:val="center"/>
          </w:tcPr>
          <w:p w14:paraId="1CE971B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1.在收集、贮存、利用、处置危险废物的设施、场所均设置了规范（形状、颜色、图案均正确）的危险废物识别标志。得1分。</w:t>
            </w:r>
          </w:p>
          <w:p w14:paraId="3838C4C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2.上述危险废物环境管理的相关设施、场所识别标志有1处错误。得0.5分。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3.上述危险废物环境管理的相关设施、场所未设置识别标志或识别标志有2处及以上错误。得0分。</w:t>
            </w:r>
          </w:p>
        </w:tc>
        <w:tc>
          <w:tcPr>
            <w:tcW w:w="2150" w:type="dxa"/>
            <w:noWrap w:val="0"/>
            <w:vAlign w:val="center"/>
          </w:tcPr>
          <w:p w14:paraId="6639E47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现场核查</w:t>
            </w:r>
          </w:p>
        </w:tc>
        <w:tc>
          <w:tcPr>
            <w:tcW w:w="614" w:type="dxa"/>
            <w:noWrap w:val="0"/>
            <w:vAlign w:val="center"/>
          </w:tcPr>
          <w:p w14:paraId="5EF8101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0C200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restart"/>
            <w:noWrap w:val="0"/>
            <w:vAlign w:val="center"/>
          </w:tcPr>
          <w:p w14:paraId="5886454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三、管理计划制度（《固废法》第七十八条）</w:t>
            </w:r>
          </w:p>
        </w:tc>
        <w:tc>
          <w:tcPr>
            <w:tcW w:w="1936" w:type="dxa"/>
            <w:gridSpan w:val="2"/>
            <w:noWrap w:val="0"/>
            <w:vAlign w:val="center"/>
          </w:tcPr>
          <w:p w14:paraId="2CA2411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4.危险废物管理计划包括减少危险废物产生量和降低危险废物危害性的措施，以及危险废物贮存、利用、处置措施。</w:t>
            </w:r>
          </w:p>
        </w:tc>
        <w:tc>
          <w:tcPr>
            <w:tcW w:w="696" w:type="dxa"/>
            <w:noWrap w:val="0"/>
            <w:vAlign w:val="center"/>
          </w:tcPr>
          <w:p w14:paraId="718E473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14:paraId="6B6632F9">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3D42838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制定了危险废物管理计划；内容齐全，危险废物的产生环节、种类、危害特性、产生量、利用处置方式描述清晰。</w:t>
            </w:r>
          </w:p>
        </w:tc>
        <w:tc>
          <w:tcPr>
            <w:tcW w:w="5200" w:type="dxa"/>
            <w:noWrap w:val="0"/>
            <w:vAlign w:val="center"/>
          </w:tcPr>
          <w:p w14:paraId="21A20B9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A.危险废物的产生环节、种类描述清晰。</w:t>
            </w:r>
          </w:p>
          <w:p w14:paraId="684CF91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B.危险废物产生量预测依据充分，且提出了减少产生量的措施。</w:t>
            </w:r>
          </w:p>
          <w:p w14:paraId="7A3FB527">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C.危险废物的危害特性描述准确，且提出了降低危害性的措施。</w:t>
            </w:r>
          </w:p>
          <w:p w14:paraId="46A5CD3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D.危险废物贮存、利用、处置措施描述清晰。</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以上每项符合得0.5分，共2分。</w:t>
            </w:r>
          </w:p>
        </w:tc>
        <w:tc>
          <w:tcPr>
            <w:tcW w:w="2150" w:type="dxa"/>
            <w:noWrap w:val="0"/>
            <w:vAlign w:val="center"/>
          </w:tcPr>
          <w:p w14:paraId="72C51E57">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1.查阅相关资料（查看危险废物管理计划）。</w:t>
            </w:r>
          </w:p>
          <w:p w14:paraId="655B2D97">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2.比对该企业近3年管理计划，查阅危险废物产生情况是否有较大变动。如有，请企业提供说明材料。</w:t>
            </w:r>
          </w:p>
        </w:tc>
        <w:tc>
          <w:tcPr>
            <w:tcW w:w="614" w:type="dxa"/>
            <w:noWrap w:val="0"/>
            <w:vAlign w:val="center"/>
          </w:tcPr>
          <w:p w14:paraId="2CCD1C2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6757F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14:paraId="206C75EE">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14:paraId="269D4F99">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5.报产生危险废物的单位所在地生态环境主管部门备案。</w:t>
            </w:r>
          </w:p>
        </w:tc>
        <w:tc>
          <w:tcPr>
            <w:tcW w:w="696" w:type="dxa"/>
            <w:noWrap w:val="0"/>
            <w:vAlign w:val="center"/>
          </w:tcPr>
          <w:p w14:paraId="72580BA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696" w:type="dxa"/>
            <w:noWrap w:val="0"/>
            <w:vAlign w:val="center"/>
          </w:tcPr>
          <w:p w14:paraId="38EF4AD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2A6AAB6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通过国家危险废物信息管理系统报所在地生态环境主管部门备案；内容发生变更时及时变更相关备案内容。</w:t>
            </w:r>
          </w:p>
        </w:tc>
        <w:tc>
          <w:tcPr>
            <w:tcW w:w="5200" w:type="dxa"/>
            <w:noWrap w:val="0"/>
            <w:vAlign w:val="center"/>
          </w:tcPr>
          <w:p w14:paraId="60F2A8A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1.经所在地生态环境主管部门备案，并可提供相关备案证明材料；管理计划内容发生变更时及时变更相关备案内容。得1分。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2.未报所在地生态环境主管部门备案，或未能提供相关证明材料，或内容有变更未及时变更相关备案内容。得0分。</w:t>
            </w:r>
          </w:p>
        </w:tc>
        <w:tc>
          <w:tcPr>
            <w:tcW w:w="2150" w:type="dxa"/>
            <w:noWrap w:val="0"/>
            <w:vAlign w:val="center"/>
          </w:tcPr>
          <w:p w14:paraId="24A5E4AB">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查阅相关资料（由企业提供已经备案的证明材料）</w:t>
            </w:r>
          </w:p>
        </w:tc>
        <w:tc>
          <w:tcPr>
            <w:tcW w:w="614" w:type="dxa"/>
            <w:noWrap w:val="0"/>
            <w:vAlign w:val="center"/>
          </w:tcPr>
          <w:p w14:paraId="62CF0AD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6875EA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noWrap w:val="0"/>
            <w:vAlign w:val="center"/>
          </w:tcPr>
          <w:p w14:paraId="71243027">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四、排污许可制度（《固废法》第三十九条）</w:t>
            </w:r>
          </w:p>
        </w:tc>
        <w:tc>
          <w:tcPr>
            <w:tcW w:w="1936" w:type="dxa"/>
            <w:gridSpan w:val="2"/>
            <w:noWrap w:val="0"/>
            <w:vAlign w:val="center"/>
          </w:tcPr>
          <w:p w14:paraId="4E782BC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6.产生工业固体废物的单位应当取得排污许可证。</w:t>
            </w:r>
          </w:p>
        </w:tc>
        <w:tc>
          <w:tcPr>
            <w:tcW w:w="696" w:type="dxa"/>
            <w:noWrap w:val="0"/>
            <w:vAlign w:val="center"/>
          </w:tcPr>
          <w:p w14:paraId="4BCA492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14:paraId="0A74E73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17729A9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依法取得排污许可证并按证排污。</w:t>
            </w:r>
          </w:p>
        </w:tc>
        <w:tc>
          <w:tcPr>
            <w:tcW w:w="5200" w:type="dxa"/>
            <w:noWrap w:val="0"/>
            <w:vAlign w:val="center"/>
          </w:tcPr>
          <w:p w14:paraId="0D25456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依法取得排污许可证，许可证中按照技术规范对工业固体废物提出明确环境管理要求，对工业固体废物的贮存、自行利用处置和委托外单位利用处置符合许可证要求，按要求及时提交台账记录和执行报告。得2分。</w:t>
            </w:r>
          </w:p>
          <w:p w14:paraId="2A96A92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2.依法取得排污许可证，对工业固体废物的贮存、自行利用处置和委托外单位利用处置符合许可证要求，但未按要求及时提交台账记录和执行报告。得1分。</w:t>
            </w:r>
          </w:p>
          <w:p w14:paraId="2E534B0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3.未依法取得排污许可证，或依法取得了排污许可证，但对工业固体废物的贮存、自行利用处置和委托外单位利用处置不符合许可证要求，未及时提交台账记录和执行报告。得0分。</w:t>
            </w:r>
          </w:p>
        </w:tc>
        <w:tc>
          <w:tcPr>
            <w:tcW w:w="2150" w:type="dxa"/>
            <w:noWrap w:val="0"/>
            <w:vAlign w:val="center"/>
          </w:tcPr>
          <w:p w14:paraId="69DABB2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w:t>
            </w:r>
          </w:p>
        </w:tc>
        <w:tc>
          <w:tcPr>
            <w:tcW w:w="614" w:type="dxa"/>
            <w:noWrap w:val="0"/>
            <w:vAlign w:val="center"/>
          </w:tcPr>
          <w:p w14:paraId="6C8AD02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42DA1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noWrap w:val="0"/>
            <w:vAlign w:val="center"/>
          </w:tcPr>
          <w:p w14:paraId="46D31D2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五、台账和申报制度（《固废法》第七十八条）</w:t>
            </w:r>
          </w:p>
        </w:tc>
        <w:tc>
          <w:tcPr>
            <w:tcW w:w="1936" w:type="dxa"/>
            <w:gridSpan w:val="2"/>
            <w:noWrap w:val="0"/>
            <w:vAlign w:val="center"/>
          </w:tcPr>
          <w:p w14:paraId="4ED3B25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7.按照国家有关规定建立危险废物管理台账，如实记录有关信息。</w:t>
            </w:r>
          </w:p>
        </w:tc>
        <w:tc>
          <w:tcPr>
            <w:tcW w:w="696" w:type="dxa"/>
            <w:noWrap w:val="0"/>
            <w:vAlign w:val="center"/>
          </w:tcPr>
          <w:p w14:paraId="6AAC0F7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w:t>
            </w:r>
          </w:p>
        </w:tc>
        <w:tc>
          <w:tcPr>
            <w:tcW w:w="696" w:type="dxa"/>
            <w:noWrap w:val="0"/>
            <w:vAlign w:val="center"/>
          </w:tcPr>
          <w:p w14:paraId="3E14DB0B">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16AAF43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如实记录；内容齐全；能提供证明材料，证明所记录数据的真实性和合理性。</w:t>
            </w:r>
          </w:p>
        </w:tc>
        <w:tc>
          <w:tcPr>
            <w:tcW w:w="5200" w:type="dxa"/>
            <w:noWrap w:val="0"/>
            <w:vAlign w:val="center"/>
          </w:tcPr>
          <w:p w14:paraId="2BE1E0C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1.全面、准确地记录了危险废物产生、入库、出库、自行利用处置等各环节危险废物在企业内部流转情况；且可提供各环节台账记录表等证明材料。得6分。</w:t>
            </w:r>
          </w:p>
          <w:p w14:paraId="27E56DE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2.记录内容中存在2处及以下错误。得3分。</w:t>
            </w:r>
          </w:p>
          <w:p w14:paraId="215569DB">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3.不记录或虚假记录的，或记录内容中存在2处以上错误。得0分。</w:t>
            </w:r>
          </w:p>
        </w:tc>
        <w:tc>
          <w:tcPr>
            <w:tcW w:w="2150" w:type="dxa"/>
            <w:noWrap w:val="0"/>
            <w:vAlign w:val="center"/>
          </w:tcPr>
          <w:p w14:paraId="09481CB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1.核对产生、入库、出库、利用处置等各环节数据的逻辑关系。</w:t>
            </w:r>
          </w:p>
          <w:p w14:paraId="3E6348F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2.危险废物管理台账同转移联单、经营单位管理台账进行核对。</w:t>
            </w:r>
          </w:p>
          <w:p w14:paraId="794DB00B">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3.若不同环节间数据存在因挥发等因素造成的数据偏差，判断是否在合理范围内。</w:t>
            </w:r>
          </w:p>
        </w:tc>
        <w:tc>
          <w:tcPr>
            <w:tcW w:w="614" w:type="dxa"/>
            <w:noWrap w:val="0"/>
            <w:vAlign w:val="center"/>
          </w:tcPr>
          <w:p w14:paraId="6EFBFDF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00570B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noWrap w:val="0"/>
            <w:vAlign w:val="center"/>
          </w:tcPr>
          <w:p w14:paraId="7A59A4E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五、台账和申报制度（《固废法》第七十八条）</w:t>
            </w:r>
          </w:p>
        </w:tc>
        <w:tc>
          <w:tcPr>
            <w:tcW w:w="1936" w:type="dxa"/>
            <w:gridSpan w:val="2"/>
            <w:noWrap w:val="0"/>
            <w:vAlign w:val="center"/>
          </w:tcPr>
          <w:p w14:paraId="55820F9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8.通过国家危险废物信息管理系统向所在地生态环境主管部门如实申报危险废物的种类、产生量、流向、贮存、处置等有关资料。</w:t>
            </w:r>
          </w:p>
        </w:tc>
        <w:tc>
          <w:tcPr>
            <w:tcW w:w="696" w:type="dxa"/>
            <w:noWrap w:val="0"/>
            <w:vAlign w:val="center"/>
          </w:tcPr>
          <w:p w14:paraId="1C121D5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w:t>
            </w:r>
          </w:p>
        </w:tc>
        <w:tc>
          <w:tcPr>
            <w:tcW w:w="696" w:type="dxa"/>
            <w:noWrap w:val="0"/>
            <w:vAlign w:val="center"/>
          </w:tcPr>
          <w:p w14:paraId="7C5AE35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58AC351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如实申报；内容齐全；能提供证明材料，证明所申报数据的真实性和合理性。</w:t>
            </w:r>
          </w:p>
        </w:tc>
        <w:tc>
          <w:tcPr>
            <w:tcW w:w="5200" w:type="dxa"/>
            <w:noWrap w:val="0"/>
            <w:vAlign w:val="center"/>
          </w:tcPr>
          <w:p w14:paraId="6B4F3EA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全面、准确地申报了危险废物的种类、产生量、流向、贮存、利用、处置情况；且可提供证明材料（如危险废物管理台账、环评文件、竣工验收文件、危险废物转移联单、危险废物利用处置合同、财务数据等）。得4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2.申报内容中存在2处及以下错误。得2分。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3.不报或虚报、漏报、瞒报危险废物的，或申报内容中关于危险废物的种类、产生量、流向、贮存、利用和处置情况存在2处以上错误。得0分。</w:t>
            </w:r>
          </w:p>
        </w:tc>
        <w:tc>
          <w:tcPr>
            <w:tcW w:w="2150" w:type="dxa"/>
            <w:noWrap w:val="0"/>
            <w:vAlign w:val="center"/>
          </w:tcPr>
          <w:p w14:paraId="4276DAC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1.至少抽选2种产生量大的危险废物，核实产生、贮存、转移、利用、处置全过程流向的合规合理性。</w:t>
            </w:r>
          </w:p>
          <w:p w14:paraId="415C477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2.查阅相关资料（由企业提供已经申报登记的证明材料和相应的其他证明材料）。</w:t>
            </w:r>
          </w:p>
          <w:p w14:paraId="53EE402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3.比对该企业近3年申报资料，查阅危险废物产生情况是否有较大变动。如有，请企业提供说明材料。</w:t>
            </w:r>
          </w:p>
        </w:tc>
        <w:tc>
          <w:tcPr>
            <w:tcW w:w="614" w:type="dxa"/>
            <w:noWrap w:val="0"/>
            <w:vAlign w:val="center"/>
          </w:tcPr>
          <w:p w14:paraId="6FA8092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59B368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noWrap w:val="0"/>
            <w:vAlign w:val="center"/>
          </w:tcPr>
          <w:p w14:paraId="54DC4B9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六、源头分类制度（《固废法》第八十一条）</w:t>
            </w:r>
          </w:p>
        </w:tc>
        <w:tc>
          <w:tcPr>
            <w:tcW w:w="1936" w:type="dxa"/>
            <w:gridSpan w:val="2"/>
            <w:noWrap w:val="0"/>
            <w:vAlign w:val="center"/>
          </w:tcPr>
          <w:p w14:paraId="1C19B47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9.按照危险废物特性分类进行收集。</w:t>
            </w:r>
          </w:p>
        </w:tc>
        <w:tc>
          <w:tcPr>
            <w:tcW w:w="696" w:type="dxa"/>
            <w:noWrap w:val="0"/>
            <w:vAlign w:val="center"/>
          </w:tcPr>
          <w:p w14:paraId="7B36599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14:paraId="1A792719">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5EC1714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危险废物按种类分别收集、贮存。</w:t>
            </w:r>
          </w:p>
        </w:tc>
        <w:tc>
          <w:tcPr>
            <w:tcW w:w="5200" w:type="dxa"/>
            <w:noWrap w:val="0"/>
            <w:vAlign w:val="center"/>
          </w:tcPr>
          <w:p w14:paraId="3BA747C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A.所有危险废物产生环节均按种类分别收集。</w:t>
            </w:r>
          </w:p>
          <w:p w14:paraId="7576317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B.危险废物按种类分别存放，不同废物间有明显间隔。</w:t>
            </w:r>
          </w:p>
          <w:p w14:paraId="0CFEA45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以上每项符合得1分，共2分。</w:t>
            </w:r>
          </w:p>
          <w:p w14:paraId="6B9AB5D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注：此条评估企业内部收集时的源头分类。</w:t>
            </w:r>
          </w:p>
        </w:tc>
        <w:tc>
          <w:tcPr>
            <w:tcW w:w="2150" w:type="dxa"/>
            <w:noWrap w:val="0"/>
            <w:vAlign w:val="center"/>
          </w:tcPr>
          <w:p w14:paraId="32A2F479">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1.按照生产工艺流程，现场核查所有危险废物产生环节分类收集情况。</w:t>
            </w:r>
          </w:p>
          <w:p w14:paraId="7BE8CB7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2.现场核查厂区内（不仅限于贮存设施）危险废物存放情况。</w:t>
            </w:r>
          </w:p>
        </w:tc>
        <w:tc>
          <w:tcPr>
            <w:tcW w:w="614" w:type="dxa"/>
            <w:noWrap w:val="0"/>
            <w:vAlign w:val="center"/>
          </w:tcPr>
          <w:p w14:paraId="0DA997F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49F33B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restart"/>
            <w:noWrap w:val="0"/>
            <w:vAlign w:val="center"/>
          </w:tcPr>
          <w:p w14:paraId="4CABB2A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七、转移制度（《固废法》第三十七条、第八十二条）</w:t>
            </w:r>
          </w:p>
        </w:tc>
        <w:tc>
          <w:tcPr>
            <w:tcW w:w="1936" w:type="dxa"/>
            <w:gridSpan w:val="2"/>
            <w:noWrap w:val="0"/>
            <w:vAlign w:val="center"/>
          </w:tcPr>
          <w:p w14:paraId="147121F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10.产生工业固体废物的单位委托他人运输、利用、处置工业固体废物的，应当对受托方的主体资格和技术能力进行核实，依法签订书面合同，在合同中约定污染防治要求。</w:t>
            </w:r>
          </w:p>
        </w:tc>
        <w:tc>
          <w:tcPr>
            <w:tcW w:w="696" w:type="dxa"/>
            <w:noWrap w:val="0"/>
            <w:vAlign w:val="center"/>
          </w:tcPr>
          <w:p w14:paraId="152CC69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w:t>
            </w:r>
          </w:p>
        </w:tc>
        <w:tc>
          <w:tcPr>
            <w:tcW w:w="696" w:type="dxa"/>
            <w:noWrap w:val="0"/>
            <w:vAlign w:val="center"/>
          </w:tcPr>
          <w:p w14:paraId="4DE7402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3ADD165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核实受托方的主体资格和技术能力。</w:t>
            </w:r>
          </w:p>
        </w:tc>
        <w:tc>
          <w:tcPr>
            <w:tcW w:w="5200" w:type="dxa"/>
            <w:noWrap w:val="0"/>
            <w:vAlign w:val="center"/>
          </w:tcPr>
          <w:p w14:paraId="677751A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A.对受托方的主体资格和技术能力进行核实，且可提供证明材料。</w:t>
            </w:r>
          </w:p>
          <w:p w14:paraId="2813559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B.及时核对受托方收集、利用或者处置相关危险废物情况，且可提供证明材料。</w:t>
            </w:r>
          </w:p>
          <w:p w14:paraId="148C01B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p w14:paraId="712A023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以上每项符合得2.5分，共5分。</w:t>
            </w:r>
          </w:p>
        </w:tc>
        <w:tc>
          <w:tcPr>
            <w:tcW w:w="2150" w:type="dxa"/>
            <w:noWrap w:val="0"/>
            <w:vAlign w:val="center"/>
          </w:tcPr>
          <w:p w14:paraId="614FAD9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1.查阅相关资料（如受托方危险废物经营许可证及其附件的复印件等）。</w:t>
            </w:r>
          </w:p>
          <w:p w14:paraId="6DB47DB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2.实地或电话同受托方核实，包括转移联单同产废单位的台账核实；转移联单同经营单位的经营管理台账核实。</w:t>
            </w:r>
          </w:p>
        </w:tc>
        <w:tc>
          <w:tcPr>
            <w:tcW w:w="614" w:type="dxa"/>
            <w:noWrap w:val="0"/>
            <w:vAlign w:val="center"/>
          </w:tcPr>
          <w:p w14:paraId="2ED2D93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4DCF2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14:paraId="68722A41">
            <w:pPr>
              <w:keepNext w:val="0"/>
              <w:keepLines w:val="0"/>
              <w:pageBreakBefore w:val="0"/>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14:paraId="2C1F539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11.转移危险废物的，按照危险废物转移有关规定，如实填写、运行转移联单。</w:t>
            </w:r>
          </w:p>
        </w:tc>
        <w:tc>
          <w:tcPr>
            <w:tcW w:w="696" w:type="dxa"/>
            <w:noWrap w:val="0"/>
            <w:vAlign w:val="center"/>
          </w:tcPr>
          <w:p w14:paraId="0797398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w:t>
            </w:r>
          </w:p>
        </w:tc>
        <w:tc>
          <w:tcPr>
            <w:tcW w:w="696" w:type="dxa"/>
            <w:noWrap w:val="0"/>
            <w:vAlign w:val="center"/>
          </w:tcPr>
          <w:p w14:paraId="638493C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01092A8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按照实际转移的危险废物，如实填写、运行危险废物转移联单。</w:t>
            </w:r>
          </w:p>
        </w:tc>
        <w:tc>
          <w:tcPr>
            <w:tcW w:w="5200" w:type="dxa"/>
            <w:noWrap w:val="0"/>
            <w:vAlign w:val="center"/>
          </w:tcPr>
          <w:p w14:paraId="6B1C65F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1.转移危险废物的，按照危险废物转移有关规定通过国家危险废物信息管理系统如实填写、运行电子联单。得4分。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2.联单填写不规范，存在2处及以下错填、漏填等情况。得2分。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3.未运行联单擅自转移危险废物或联单填写存在错填、漏填在2处以上。得0分。</w:t>
            </w:r>
          </w:p>
        </w:tc>
        <w:tc>
          <w:tcPr>
            <w:tcW w:w="2150" w:type="dxa"/>
            <w:noWrap w:val="0"/>
            <w:vAlign w:val="center"/>
          </w:tcPr>
          <w:p w14:paraId="14B8381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1.现场查看转移联单，并结合台账记录、环评文件等材料进行核对。</w:t>
            </w:r>
          </w:p>
          <w:p w14:paraId="7EC6A06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2.至少抽选2种转移量大的危险废物，核实产生、贮存、转移、利用、处置全过程流向的合规合理性。</w:t>
            </w:r>
          </w:p>
        </w:tc>
        <w:tc>
          <w:tcPr>
            <w:tcW w:w="614" w:type="dxa"/>
            <w:noWrap w:val="0"/>
            <w:vAlign w:val="center"/>
          </w:tcPr>
          <w:p w14:paraId="00E9701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5137A0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14:paraId="49FE3B74">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14:paraId="0660FC9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12.跨省、自治区、直辖市转移危险废物的，应当向危险废物移出地省、自治区、直辖市人民政府生态环境主管部门申请。</w:t>
            </w:r>
          </w:p>
        </w:tc>
        <w:tc>
          <w:tcPr>
            <w:tcW w:w="696" w:type="dxa"/>
            <w:noWrap w:val="0"/>
            <w:vAlign w:val="center"/>
          </w:tcPr>
          <w:p w14:paraId="63189B9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14:paraId="12CA7B4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587825E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向移出地省级生态环境主管部门申请并获得批准。</w:t>
            </w:r>
          </w:p>
        </w:tc>
        <w:tc>
          <w:tcPr>
            <w:tcW w:w="5200" w:type="dxa"/>
            <w:noWrap w:val="0"/>
            <w:vAlign w:val="center"/>
          </w:tcPr>
          <w:p w14:paraId="0F9D4274">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1.跨省、自治区、直辖市转移危险废物的，在转移危险废物前向移出地省级生态环境主管部门申请并得到批准。得2分。</w:t>
            </w:r>
          </w:p>
          <w:p w14:paraId="5DA002B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2.未获得省级生态环境主管部门批准，擅自转移危险废物。得0分。</w:t>
            </w:r>
          </w:p>
        </w:tc>
        <w:tc>
          <w:tcPr>
            <w:tcW w:w="2150" w:type="dxa"/>
            <w:noWrap w:val="0"/>
            <w:vAlign w:val="center"/>
          </w:tcPr>
          <w:p w14:paraId="24996E69">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查阅相关资料（查看批准证明）</w:t>
            </w:r>
          </w:p>
        </w:tc>
        <w:tc>
          <w:tcPr>
            <w:tcW w:w="614" w:type="dxa"/>
            <w:noWrap w:val="0"/>
            <w:vAlign w:val="center"/>
          </w:tcPr>
          <w:p w14:paraId="4666633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70EEB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restart"/>
            <w:noWrap w:val="0"/>
            <w:vAlign w:val="center"/>
          </w:tcPr>
          <w:p w14:paraId="6F0EFBE3">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八、环境应急预案备案制度（《固废法》第八十五条）</w:t>
            </w:r>
          </w:p>
        </w:tc>
        <w:tc>
          <w:tcPr>
            <w:tcW w:w="1936" w:type="dxa"/>
            <w:gridSpan w:val="2"/>
            <w:noWrap w:val="0"/>
            <w:vAlign w:val="center"/>
          </w:tcPr>
          <w:p w14:paraId="74A55C9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13.依法制定意外事故的环境污染防范措施和应急预案。</w:t>
            </w:r>
          </w:p>
        </w:tc>
        <w:tc>
          <w:tcPr>
            <w:tcW w:w="696" w:type="dxa"/>
            <w:noWrap w:val="0"/>
            <w:vAlign w:val="center"/>
          </w:tcPr>
          <w:p w14:paraId="67789D3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696" w:type="dxa"/>
            <w:noWrap w:val="0"/>
            <w:vAlign w:val="center"/>
          </w:tcPr>
          <w:p w14:paraId="645AEDC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350A7E64">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有意外事故应急预案（综合性应急预案有危险废物相关篇章或有危险废物专门应急预案）。</w:t>
            </w:r>
          </w:p>
        </w:tc>
        <w:tc>
          <w:tcPr>
            <w:tcW w:w="5200" w:type="dxa"/>
            <w:noWrap w:val="0"/>
            <w:vAlign w:val="center"/>
          </w:tcPr>
          <w:p w14:paraId="26C5E31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A.应急预案有明确的管理机构及负责人。</w:t>
            </w:r>
          </w:p>
          <w:p w14:paraId="6E97744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B.有意外事故的情形及相应的处理措施。</w:t>
            </w:r>
          </w:p>
          <w:p w14:paraId="545F411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C.有应急预案中要求配置的应急装备及物资。</w:t>
            </w:r>
          </w:p>
          <w:p w14:paraId="0C72D3F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D.内部及外部环境发生改变时，及时对应急预案进行修订。</w:t>
            </w:r>
          </w:p>
          <w:p w14:paraId="28F0C30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1.制定了环境应急预案且达到以上全部要求。得1分。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2.未制定环境应急预案，或制定的环境应急预案不能达到上述2项以上要求。得0分。</w:t>
            </w:r>
          </w:p>
        </w:tc>
        <w:tc>
          <w:tcPr>
            <w:tcW w:w="2150" w:type="dxa"/>
            <w:noWrap w:val="0"/>
            <w:vAlign w:val="center"/>
          </w:tcPr>
          <w:p w14:paraId="64E611F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查阅相关资料（查看环境应急预案）、现场核查</w:t>
            </w:r>
          </w:p>
        </w:tc>
        <w:tc>
          <w:tcPr>
            <w:tcW w:w="614" w:type="dxa"/>
            <w:noWrap w:val="0"/>
            <w:vAlign w:val="center"/>
          </w:tcPr>
          <w:p w14:paraId="7019B8B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51267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14:paraId="5B35A2A6">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14:paraId="751175B9">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r>
              <w:rPr>
                <w:rFonts w:hint="default" w:ascii="Times New Roman" w:hAnsi="Times New Roman" w:eastAsia="楷体_GB2312" w:cs="Times New Roman"/>
                <w:spacing w:val="-11"/>
                <w:kern w:val="0"/>
                <w:sz w:val="24"/>
                <w:szCs w:val="24"/>
              </w:rPr>
              <w:t>4.向所在地生态环境主管部门和其他负有固体废物污染环境防治监督管理职责的部门备案。</w:t>
            </w:r>
          </w:p>
        </w:tc>
        <w:tc>
          <w:tcPr>
            <w:tcW w:w="696" w:type="dxa"/>
            <w:noWrap w:val="0"/>
            <w:vAlign w:val="center"/>
          </w:tcPr>
          <w:p w14:paraId="22EFF62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696" w:type="dxa"/>
            <w:noWrap w:val="0"/>
            <w:vAlign w:val="center"/>
          </w:tcPr>
          <w:p w14:paraId="192BDFB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5D7162B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在所在地生态环境主管部门和其他负有固体废物污染环境防治监督管理职责的部门备案。</w:t>
            </w:r>
          </w:p>
        </w:tc>
        <w:tc>
          <w:tcPr>
            <w:tcW w:w="5200" w:type="dxa"/>
            <w:noWrap w:val="0"/>
            <w:vAlign w:val="center"/>
          </w:tcPr>
          <w:p w14:paraId="2593656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1.环境应急预案报所在地生态环境主管部门和其他负有固体废物污染环境防治监督管理职责的部门备案，有相关证明材料。得1分。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2.未备案或无相关证明材料。得0分。</w:t>
            </w:r>
          </w:p>
        </w:tc>
        <w:tc>
          <w:tcPr>
            <w:tcW w:w="2150" w:type="dxa"/>
            <w:noWrap w:val="0"/>
            <w:vAlign w:val="center"/>
          </w:tcPr>
          <w:p w14:paraId="4188C39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查阅相关资料（查看备案证明）</w:t>
            </w:r>
          </w:p>
        </w:tc>
        <w:tc>
          <w:tcPr>
            <w:tcW w:w="614" w:type="dxa"/>
            <w:noWrap w:val="0"/>
            <w:vAlign w:val="center"/>
          </w:tcPr>
          <w:p w14:paraId="1499CF34">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0A9C3C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14:paraId="7FD9D906">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14:paraId="41F9BE4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15.按照预案要求定期组织应急演练。</w:t>
            </w:r>
          </w:p>
        </w:tc>
        <w:tc>
          <w:tcPr>
            <w:tcW w:w="696" w:type="dxa"/>
            <w:noWrap w:val="0"/>
            <w:vAlign w:val="center"/>
          </w:tcPr>
          <w:p w14:paraId="118B35C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14:paraId="4381A30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1D8162B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按照预案要求定期组织环境应急演练。</w:t>
            </w:r>
          </w:p>
        </w:tc>
        <w:tc>
          <w:tcPr>
            <w:tcW w:w="5200" w:type="dxa"/>
            <w:noWrap w:val="0"/>
            <w:vAlign w:val="center"/>
          </w:tcPr>
          <w:p w14:paraId="1BDD088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对于危险废物年产生量在10吨以下的企业：</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1.有图片、文字或视频记录。得2分。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2.无任何记载或不能够证明组织了环境应急演练。得0分。</w:t>
            </w:r>
          </w:p>
          <w:p w14:paraId="2658E6A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p w14:paraId="091BC85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对于危险废物年产生量10吨（含）以上的企业，以下每项要求符合得0.5分；未组织环境应急演练的得0分。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A.有详细的演练计划。</w:t>
            </w:r>
          </w:p>
          <w:p w14:paraId="3D3A96C4">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B.有演练的图片、文字或视频记录。</w:t>
            </w:r>
          </w:p>
          <w:p w14:paraId="2EE82459">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C.有演练后的总结材料。</w:t>
            </w:r>
          </w:p>
          <w:p w14:paraId="72CF5B8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pacing w:val="-4"/>
                <w:kern w:val="0"/>
                <w:sz w:val="24"/>
                <w:szCs w:val="24"/>
              </w:rPr>
              <w:t>D.</w:t>
            </w:r>
            <w:r>
              <w:rPr>
                <w:rFonts w:hint="default" w:ascii="Times New Roman" w:hAnsi="Times New Roman" w:eastAsia="楷体_GB2312" w:cs="Times New Roman"/>
                <w:spacing w:val="-11"/>
                <w:kern w:val="0"/>
                <w:sz w:val="24"/>
                <w:szCs w:val="24"/>
              </w:rPr>
              <w:t>参加演练人员熟悉意外事故的环境污染防范措施。</w:t>
            </w:r>
          </w:p>
        </w:tc>
        <w:tc>
          <w:tcPr>
            <w:tcW w:w="2150" w:type="dxa"/>
            <w:noWrap w:val="0"/>
            <w:vAlign w:val="center"/>
          </w:tcPr>
          <w:p w14:paraId="69DF2507">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查阅相关资料（查看环境应急预案演练记录）、现场询问</w:t>
            </w:r>
          </w:p>
        </w:tc>
        <w:tc>
          <w:tcPr>
            <w:tcW w:w="614" w:type="dxa"/>
            <w:noWrap w:val="0"/>
            <w:vAlign w:val="center"/>
          </w:tcPr>
          <w:p w14:paraId="0B8BBEA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27C5B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restart"/>
            <w:noWrap w:val="0"/>
            <w:vAlign w:val="center"/>
          </w:tcPr>
          <w:p w14:paraId="4AFD1B2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九、贮存设施环境管理（《固废法》第十七条、第十八条、第七十九条）</w:t>
            </w:r>
          </w:p>
        </w:tc>
        <w:tc>
          <w:tcPr>
            <w:tcW w:w="1936" w:type="dxa"/>
            <w:gridSpan w:val="2"/>
            <w:noWrap w:val="0"/>
            <w:vAlign w:val="center"/>
          </w:tcPr>
          <w:p w14:paraId="644E5C1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16.依法进行环境影响评价，完成“三同时”验收。</w:t>
            </w:r>
          </w:p>
        </w:tc>
        <w:tc>
          <w:tcPr>
            <w:tcW w:w="696" w:type="dxa"/>
            <w:noWrap w:val="0"/>
            <w:vAlign w:val="center"/>
          </w:tcPr>
          <w:p w14:paraId="7CCEBF5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14:paraId="29F0181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3D176A07">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有环评材料，并完成“三同时”验收。</w:t>
            </w:r>
          </w:p>
        </w:tc>
        <w:tc>
          <w:tcPr>
            <w:tcW w:w="5200" w:type="dxa"/>
            <w:noWrap w:val="0"/>
            <w:vAlign w:val="center"/>
          </w:tcPr>
          <w:p w14:paraId="4462A7D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1.环境影响评价文件对全部危险废物贮存设施进行了评价，且完成了“三同时”验收或在验收期限内。得2分。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2.环境影响评价文件对全部危险废物贮存设施进行了评价，但未完成“三同时”验收。得1分。</w:t>
            </w:r>
          </w:p>
          <w:p w14:paraId="5DFFE884">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3.环境影响评价文件对部分危险废物贮存设施进行了评价，且完成了“三同时”验收或在验收期限内。得1分。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8"/>
                <w:kern w:val="0"/>
                <w:sz w:val="24"/>
                <w:szCs w:val="24"/>
              </w:rPr>
              <w:t>4.环境影响评价文件未对危险废物贮存设施进行评价或危险废物实际贮存方式与环境影响评价文件不一致。得0分。</w:t>
            </w:r>
          </w:p>
        </w:tc>
        <w:tc>
          <w:tcPr>
            <w:tcW w:w="2150" w:type="dxa"/>
            <w:noWrap w:val="0"/>
            <w:vAlign w:val="center"/>
          </w:tcPr>
          <w:p w14:paraId="1989B27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查阅相关资料（查看环评材料及批复、验收报告等）</w:t>
            </w:r>
          </w:p>
        </w:tc>
        <w:tc>
          <w:tcPr>
            <w:tcW w:w="614" w:type="dxa"/>
            <w:noWrap w:val="0"/>
            <w:vAlign w:val="center"/>
          </w:tcPr>
          <w:p w14:paraId="3BFEA9D7">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70795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top"/>
          </w:tcPr>
          <w:p w14:paraId="3BE94AF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14:paraId="52D33E3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17.按照国家有关规定和环境保护标准要求贮存危险废物。</w:t>
            </w:r>
          </w:p>
        </w:tc>
        <w:tc>
          <w:tcPr>
            <w:tcW w:w="696" w:type="dxa"/>
            <w:noWrap w:val="0"/>
            <w:vAlign w:val="center"/>
          </w:tcPr>
          <w:p w14:paraId="581F438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10</w:t>
            </w:r>
          </w:p>
        </w:tc>
        <w:tc>
          <w:tcPr>
            <w:tcW w:w="696" w:type="dxa"/>
            <w:noWrap w:val="0"/>
            <w:vAlign w:val="center"/>
          </w:tcPr>
          <w:p w14:paraId="28967A2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164E05DB">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符合《危险废物贮存污染控制标准》的有关要求。</w:t>
            </w:r>
          </w:p>
        </w:tc>
        <w:tc>
          <w:tcPr>
            <w:tcW w:w="5200" w:type="dxa"/>
            <w:noWrap w:val="0"/>
            <w:vAlign w:val="top"/>
          </w:tcPr>
          <w:p w14:paraId="5DF5385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A.符合《危险废物贮存污染控制标准》一般要求，按照危害特性分类贮存危险废物、未混合贮存性质不相容且未经安全性处置的危险废物、具备防渗漏功能或采取相应措施等。</w:t>
            </w:r>
          </w:p>
          <w:p w14:paraId="7311017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B.</w:t>
            </w:r>
            <w:r>
              <w:rPr>
                <w:rFonts w:hint="default" w:ascii="Times New Roman" w:hAnsi="Times New Roman" w:eastAsia="楷体_GB2312" w:cs="Times New Roman"/>
                <w:sz w:val="24"/>
                <w:szCs w:val="24"/>
              </w:rPr>
              <w:t>符合</w:t>
            </w:r>
            <w:r>
              <w:rPr>
                <w:rFonts w:hint="default" w:ascii="Times New Roman" w:hAnsi="Times New Roman" w:eastAsia="楷体_GB2312" w:cs="Times New Roman"/>
                <w:kern w:val="0"/>
                <w:sz w:val="24"/>
                <w:szCs w:val="24"/>
              </w:rPr>
              <w:t>《危险废物贮存污染控制标准》贮存容器有关要求，装载危险废物的容器完好无损等</w:t>
            </w:r>
            <w:r>
              <w:rPr>
                <w:rFonts w:hint="default" w:ascii="Times New Roman" w:hAnsi="Times New Roman" w:eastAsia="楷体_GB2312" w:cs="Times New Roman"/>
                <w:sz w:val="24"/>
                <w:szCs w:val="24"/>
              </w:rPr>
              <w:t>。</w:t>
            </w:r>
          </w:p>
          <w:p w14:paraId="27AEC02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C.</w:t>
            </w:r>
            <w:r>
              <w:rPr>
                <w:rFonts w:hint="default" w:ascii="Times New Roman" w:hAnsi="Times New Roman" w:eastAsia="楷体_GB2312" w:cs="Times New Roman"/>
                <w:kern w:val="0"/>
                <w:sz w:val="24"/>
                <w:szCs w:val="24"/>
              </w:rPr>
              <w:t>符合《危险废物贮存污染控制标准》污染物排放有关要求，</w:t>
            </w:r>
            <w:r>
              <w:rPr>
                <w:rFonts w:hint="default" w:ascii="Times New Roman" w:hAnsi="Times New Roman" w:eastAsia="楷体_GB2312" w:cs="Times New Roman"/>
                <w:sz w:val="24"/>
                <w:szCs w:val="24"/>
              </w:rPr>
              <w:t>危险废物贮存过程产生的各种污染物满足国家污染物排放（控制）标准等要求。</w:t>
            </w:r>
          </w:p>
          <w:p w14:paraId="427F8B2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sz w:val="24"/>
                <w:szCs w:val="24"/>
              </w:rPr>
              <w:t>D.</w:t>
            </w:r>
            <w:r>
              <w:rPr>
                <w:rFonts w:hint="default" w:ascii="Times New Roman" w:hAnsi="Times New Roman" w:eastAsia="楷体_GB2312" w:cs="Times New Roman"/>
                <w:kern w:val="0"/>
                <w:sz w:val="24"/>
                <w:szCs w:val="24"/>
              </w:rPr>
              <w:t>符合《危险废物贮存污染控制标准》监测有关要求，按照有关规定开展自行监测等。</w:t>
            </w:r>
          </w:p>
          <w:p w14:paraId="0991AA2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kern w:val="0"/>
                <w:sz w:val="24"/>
                <w:szCs w:val="24"/>
              </w:rPr>
            </w:pPr>
          </w:p>
          <w:p w14:paraId="2400C0B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kern w:val="0"/>
                <w:sz w:val="24"/>
                <w:szCs w:val="24"/>
              </w:rPr>
              <w:t>以上每项符合得2.5分，共10分。</w:t>
            </w:r>
          </w:p>
        </w:tc>
        <w:tc>
          <w:tcPr>
            <w:tcW w:w="2150" w:type="dxa"/>
            <w:noWrap w:val="0"/>
            <w:vAlign w:val="center"/>
          </w:tcPr>
          <w:p w14:paraId="0018A77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现场核查厂区内（不仅限于贮存设施）危险废物存放情况，重点核查是否存在随意堆存、与一般工业固体废物掺混等情形。</w:t>
            </w:r>
          </w:p>
        </w:tc>
        <w:tc>
          <w:tcPr>
            <w:tcW w:w="614" w:type="dxa"/>
            <w:noWrap w:val="0"/>
            <w:vAlign w:val="top"/>
          </w:tcPr>
          <w:p w14:paraId="0B5AD00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6CA81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noWrap w:val="0"/>
            <w:vAlign w:val="center"/>
          </w:tcPr>
          <w:p w14:paraId="29536BF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十、信息发布（《固废法》第二十九条）</w:t>
            </w:r>
          </w:p>
        </w:tc>
        <w:tc>
          <w:tcPr>
            <w:tcW w:w="1936" w:type="dxa"/>
            <w:gridSpan w:val="2"/>
            <w:noWrap w:val="0"/>
            <w:vAlign w:val="center"/>
          </w:tcPr>
          <w:p w14:paraId="338FADE9">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11"/>
                <w:kern w:val="0"/>
                <w:sz w:val="24"/>
                <w:szCs w:val="24"/>
              </w:rPr>
              <w:t>18.产生固体废物的单位，应当依法及时公开固体废物污染环境防治信息，主动接受社会监督。</w:t>
            </w:r>
          </w:p>
        </w:tc>
        <w:tc>
          <w:tcPr>
            <w:tcW w:w="696" w:type="dxa"/>
            <w:noWrap w:val="0"/>
            <w:vAlign w:val="center"/>
          </w:tcPr>
          <w:p w14:paraId="5BCDC5E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696" w:type="dxa"/>
            <w:noWrap w:val="0"/>
            <w:vAlign w:val="center"/>
          </w:tcPr>
          <w:p w14:paraId="6C2FD4F7">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616AD20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依法及时公开危险废物污染环境防治信息。</w:t>
            </w:r>
          </w:p>
        </w:tc>
        <w:tc>
          <w:tcPr>
            <w:tcW w:w="5200" w:type="dxa"/>
            <w:noWrap w:val="0"/>
            <w:vAlign w:val="center"/>
          </w:tcPr>
          <w:p w14:paraId="7A200D3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1.通过企业网站等途径依法公开当年危险废物污染环境防治信息。得1分。</w:t>
            </w:r>
          </w:p>
          <w:p w14:paraId="0B4E644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2.未依法公开当年危险废物污染环境防治信息。得0分。</w:t>
            </w:r>
          </w:p>
        </w:tc>
        <w:tc>
          <w:tcPr>
            <w:tcW w:w="2150" w:type="dxa"/>
            <w:noWrap w:val="0"/>
            <w:vAlign w:val="center"/>
          </w:tcPr>
          <w:p w14:paraId="5A37FD2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w:t>
            </w:r>
          </w:p>
        </w:tc>
        <w:tc>
          <w:tcPr>
            <w:tcW w:w="614" w:type="dxa"/>
            <w:noWrap w:val="0"/>
            <w:vAlign w:val="center"/>
          </w:tcPr>
          <w:p w14:paraId="30546DA7">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3037B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3247" w:type="dxa"/>
            <w:gridSpan w:val="3"/>
            <w:noWrap w:val="0"/>
            <w:vAlign w:val="center"/>
          </w:tcPr>
          <w:p w14:paraId="3B795B2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b/>
                <w:spacing w:val="-4"/>
                <w:kern w:val="0"/>
                <w:sz w:val="24"/>
                <w:szCs w:val="24"/>
              </w:rPr>
            </w:pPr>
            <w:r>
              <w:rPr>
                <w:rFonts w:hint="default" w:ascii="Times New Roman" w:hAnsi="Times New Roman" w:eastAsia="楷体_GB2312" w:cs="Times New Roman"/>
                <w:b/>
                <w:spacing w:val="-4"/>
                <w:kern w:val="0"/>
                <w:sz w:val="24"/>
                <w:szCs w:val="24"/>
              </w:rPr>
              <w:t>合计</w:t>
            </w:r>
          </w:p>
        </w:tc>
        <w:tc>
          <w:tcPr>
            <w:tcW w:w="696" w:type="dxa"/>
            <w:noWrap w:val="0"/>
            <w:vAlign w:val="center"/>
          </w:tcPr>
          <w:p w14:paraId="46AE0A9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50</w:t>
            </w:r>
          </w:p>
        </w:tc>
        <w:tc>
          <w:tcPr>
            <w:tcW w:w="696" w:type="dxa"/>
            <w:noWrap w:val="0"/>
            <w:vAlign w:val="center"/>
          </w:tcPr>
          <w:p w14:paraId="54C8AF7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10055" w:type="dxa"/>
            <w:gridSpan w:val="5"/>
            <w:noWrap w:val="0"/>
            <w:vAlign w:val="center"/>
          </w:tcPr>
          <w:p w14:paraId="4614085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w:t>
            </w:r>
          </w:p>
        </w:tc>
      </w:tr>
      <w:tr w14:paraId="49664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restart"/>
            <w:noWrap w:val="0"/>
            <w:vAlign w:val="center"/>
          </w:tcPr>
          <w:p w14:paraId="34A039C3">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十一、利用设施环境管理（《固废法》第十七条、第十八条、第十九条、第七十九条）</w:t>
            </w:r>
          </w:p>
        </w:tc>
        <w:tc>
          <w:tcPr>
            <w:tcW w:w="1936" w:type="dxa"/>
            <w:gridSpan w:val="2"/>
            <w:noWrap w:val="0"/>
            <w:vAlign w:val="center"/>
          </w:tcPr>
          <w:p w14:paraId="7C3CB2A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19.依法进行环境影响评价，完成“三同时”验收。</w:t>
            </w:r>
          </w:p>
        </w:tc>
        <w:tc>
          <w:tcPr>
            <w:tcW w:w="696" w:type="dxa"/>
            <w:noWrap w:val="0"/>
            <w:vAlign w:val="center"/>
          </w:tcPr>
          <w:p w14:paraId="2B0113B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14:paraId="2DEEC2B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18C915B9">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有环评材料，并完成“三同时”验收。</w:t>
            </w:r>
          </w:p>
        </w:tc>
        <w:tc>
          <w:tcPr>
            <w:tcW w:w="5200" w:type="dxa"/>
            <w:noWrap w:val="0"/>
            <w:vAlign w:val="center"/>
          </w:tcPr>
          <w:p w14:paraId="4BD36DF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1.环境影响评价文件对全部危险废物利用设施进行了评价，且完成了“三同时”验收或在验收期限内。得2分。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2.环境影响评价文件对全部危险废物利用设施进行了评价，但未完成“三同时”验收。得1分。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3.环境影响评价文件仅对部分危险废物利用设施进行了评价，且完成了“三同时”验收或在验收期限内。得1分。</w:t>
            </w:r>
          </w:p>
          <w:p w14:paraId="2DE3AB8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4.环境影响评价文件未对危险废物利用设施进行评价或危险废物实际利用方式与环境影响评价文件不一致。得0分。</w:t>
            </w:r>
          </w:p>
        </w:tc>
        <w:tc>
          <w:tcPr>
            <w:tcW w:w="2150" w:type="dxa"/>
            <w:noWrap w:val="0"/>
            <w:vAlign w:val="center"/>
          </w:tcPr>
          <w:p w14:paraId="44A6DF74">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查阅相关资料（查看环评材料及批复、验收报告等）</w:t>
            </w:r>
          </w:p>
        </w:tc>
        <w:tc>
          <w:tcPr>
            <w:tcW w:w="614" w:type="dxa"/>
            <w:noWrap w:val="0"/>
            <w:vAlign w:val="center"/>
          </w:tcPr>
          <w:p w14:paraId="2CD5728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45808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14:paraId="6D430BDE">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14:paraId="7170FE0B">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20.定期对利用设施污染物排放进行环境监测，并符合相关标准要求。</w:t>
            </w:r>
          </w:p>
        </w:tc>
        <w:tc>
          <w:tcPr>
            <w:tcW w:w="696" w:type="dxa"/>
            <w:noWrap w:val="0"/>
            <w:vAlign w:val="center"/>
          </w:tcPr>
          <w:p w14:paraId="55EDB0B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14:paraId="631DB0F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7D849A79">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监测点位、指标及频次符合要求，有定期环境监测报告，并且污染物排放符合相关标准要求。</w:t>
            </w:r>
          </w:p>
        </w:tc>
        <w:tc>
          <w:tcPr>
            <w:tcW w:w="5200" w:type="dxa"/>
            <w:noWrap w:val="0"/>
            <w:vAlign w:val="center"/>
          </w:tcPr>
          <w:p w14:paraId="275E473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按照有关法律和排污单位自行监测技术指南等规定，建立企业监测制度，制定监测方案，且近一年内按照监测方案要求的监测点位、监测指标和监测频次对自行利用设施污染物排放情况进行了监测，有环境监测报告，并且污染物排放符合执行标准。得2分。</w:t>
            </w:r>
          </w:p>
          <w:p w14:paraId="13707C1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2.近一年内有环境监测报告，并且污染物排放符合执行标准，但监测点位不符合要求或监测指标、频次不足。得1分。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3.近一年内未对污染物排放情况进行监测，或污染物超标排放。得0分。</w:t>
            </w:r>
          </w:p>
          <w:p w14:paraId="75F5931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注：企业可根据自身条件和能力，利用自有人员、场所和设备自行监测；也可委托其他有资质的检（监）测机构代其开展自行监测。</w:t>
            </w:r>
          </w:p>
        </w:tc>
        <w:tc>
          <w:tcPr>
            <w:tcW w:w="2150" w:type="dxa"/>
            <w:noWrap w:val="0"/>
            <w:vAlign w:val="center"/>
          </w:tcPr>
          <w:p w14:paraId="632C9AF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查阅相关资料（对照相关标准查看环境监测报告）、现场核查</w:t>
            </w:r>
          </w:p>
        </w:tc>
        <w:tc>
          <w:tcPr>
            <w:tcW w:w="614" w:type="dxa"/>
            <w:noWrap w:val="0"/>
            <w:vAlign w:val="center"/>
          </w:tcPr>
          <w:p w14:paraId="7A50587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030A8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noWrap w:val="0"/>
            <w:vAlign w:val="center"/>
          </w:tcPr>
          <w:p w14:paraId="21F04C01">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十一、利用设施环境管理（《固废法》第十七条、第十八条、第十九条、第七十九条）</w:t>
            </w:r>
          </w:p>
        </w:tc>
        <w:tc>
          <w:tcPr>
            <w:tcW w:w="1936" w:type="dxa"/>
            <w:gridSpan w:val="2"/>
            <w:noWrap w:val="0"/>
            <w:vAlign w:val="center"/>
          </w:tcPr>
          <w:p w14:paraId="32E98F5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21.危险废物资源化利用过程符合环境保护要求。</w:t>
            </w:r>
          </w:p>
        </w:tc>
        <w:tc>
          <w:tcPr>
            <w:tcW w:w="696" w:type="dxa"/>
            <w:noWrap w:val="0"/>
            <w:vAlign w:val="center"/>
          </w:tcPr>
          <w:p w14:paraId="27BECD1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w:t>
            </w:r>
          </w:p>
        </w:tc>
        <w:tc>
          <w:tcPr>
            <w:tcW w:w="696" w:type="dxa"/>
            <w:noWrap w:val="0"/>
            <w:vAlign w:val="center"/>
          </w:tcPr>
          <w:p w14:paraId="79BE73F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trike/>
                <w:spacing w:val="-4"/>
                <w:kern w:val="0"/>
                <w:sz w:val="24"/>
                <w:szCs w:val="24"/>
              </w:rPr>
            </w:pPr>
          </w:p>
        </w:tc>
        <w:tc>
          <w:tcPr>
            <w:tcW w:w="2091" w:type="dxa"/>
            <w:gridSpan w:val="2"/>
            <w:noWrap w:val="0"/>
            <w:vAlign w:val="center"/>
          </w:tcPr>
          <w:p w14:paraId="49C84B2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危险废物资源化产物符合《固体废物鉴别标准通则》相关要求。</w:t>
            </w:r>
          </w:p>
        </w:tc>
        <w:tc>
          <w:tcPr>
            <w:tcW w:w="5200" w:type="dxa"/>
            <w:noWrap w:val="0"/>
            <w:vAlign w:val="center"/>
          </w:tcPr>
          <w:p w14:paraId="32697E22">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满足以下条件之一的，得6分：</w:t>
            </w:r>
          </w:p>
          <w:p w14:paraId="617DB5EA">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A.危险废物资源化产物生产过程中排放到环境中的有害物质限值和该产物中有害物质的含量限值，符合国家相关污染物排放（控制）标准或技术规范要求，并提供证明材料。</w:t>
            </w:r>
          </w:p>
          <w:p w14:paraId="584FEA23">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当没有国家污染控制标准或技术规范时，危险废物资源化产物中所含有害成分含量不高于利用被替代原料生产的产品中的有害成分含量，并且在该产物生产过程中，排放到环境中的有害物质浓度不高于利用所替代原料生产产品过程中排放到环境中的有害物质浓度，并提供证明材料。</w:t>
            </w:r>
          </w:p>
        </w:tc>
        <w:tc>
          <w:tcPr>
            <w:tcW w:w="2150" w:type="dxa"/>
            <w:noWrap w:val="0"/>
            <w:vAlign w:val="center"/>
          </w:tcPr>
          <w:p w14:paraId="27E4CC3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查阅相关资料（相关标准或技术规范、污染物排放监测报告、有害物质含量检测报告）</w:t>
            </w:r>
          </w:p>
        </w:tc>
        <w:tc>
          <w:tcPr>
            <w:tcW w:w="614" w:type="dxa"/>
            <w:noWrap w:val="0"/>
            <w:vAlign w:val="center"/>
          </w:tcPr>
          <w:p w14:paraId="613DDBF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7D3ED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3247" w:type="dxa"/>
            <w:gridSpan w:val="3"/>
            <w:noWrap w:val="0"/>
            <w:vAlign w:val="center"/>
          </w:tcPr>
          <w:p w14:paraId="6E07629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b/>
                <w:spacing w:val="-4"/>
                <w:kern w:val="0"/>
                <w:sz w:val="24"/>
                <w:szCs w:val="24"/>
              </w:rPr>
              <w:t>合计</w:t>
            </w:r>
          </w:p>
        </w:tc>
        <w:tc>
          <w:tcPr>
            <w:tcW w:w="696" w:type="dxa"/>
            <w:noWrap w:val="0"/>
            <w:vAlign w:val="center"/>
          </w:tcPr>
          <w:p w14:paraId="72154BC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60</w:t>
            </w:r>
          </w:p>
        </w:tc>
        <w:tc>
          <w:tcPr>
            <w:tcW w:w="696" w:type="dxa"/>
            <w:noWrap w:val="0"/>
            <w:vAlign w:val="center"/>
          </w:tcPr>
          <w:p w14:paraId="4E9BC49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trike/>
                <w:spacing w:val="-4"/>
                <w:kern w:val="0"/>
                <w:sz w:val="24"/>
                <w:szCs w:val="24"/>
              </w:rPr>
            </w:pPr>
          </w:p>
        </w:tc>
        <w:tc>
          <w:tcPr>
            <w:tcW w:w="10055" w:type="dxa"/>
            <w:gridSpan w:val="5"/>
            <w:noWrap w:val="0"/>
            <w:vAlign w:val="center"/>
          </w:tcPr>
          <w:p w14:paraId="4E173DA2">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w:t>
            </w:r>
          </w:p>
        </w:tc>
      </w:tr>
      <w:tr w14:paraId="40ACD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restart"/>
            <w:noWrap w:val="0"/>
            <w:vAlign w:val="center"/>
          </w:tcPr>
          <w:p w14:paraId="27576957">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十二、处置设施环境管理（《固废法》第十七条、第十八条、第十九条、第七十九条）</w:t>
            </w:r>
          </w:p>
        </w:tc>
        <w:tc>
          <w:tcPr>
            <w:tcW w:w="1936" w:type="dxa"/>
            <w:gridSpan w:val="2"/>
            <w:noWrap w:val="0"/>
            <w:vAlign w:val="center"/>
          </w:tcPr>
          <w:p w14:paraId="65C2C08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22.依法进行环境影响评价，完成“三同时”验收。</w:t>
            </w:r>
          </w:p>
        </w:tc>
        <w:tc>
          <w:tcPr>
            <w:tcW w:w="696" w:type="dxa"/>
            <w:noWrap w:val="0"/>
            <w:vAlign w:val="center"/>
          </w:tcPr>
          <w:p w14:paraId="648D429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14:paraId="547539B7">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38FCCBB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有环评材料，并完成“三同时”验收。</w:t>
            </w:r>
          </w:p>
        </w:tc>
        <w:tc>
          <w:tcPr>
            <w:tcW w:w="5200" w:type="dxa"/>
            <w:noWrap w:val="0"/>
            <w:vAlign w:val="center"/>
          </w:tcPr>
          <w:p w14:paraId="491EA95C">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1.环境影响评价文件对全部危险废物处置设施进行了评价，且完成了“三同时”验收或在验收期限内。得2分。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2.环境影响评价文件对全部危险废物处置设施进行了评价，但未完成“三同时”验收。得1分。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3.环境影响评价文件仅对部分危险废物处置设施进行了评价，且完成了“三同时”验收或在验收期限内。得1分。</w:t>
            </w:r>
          </w:p>
          <w:p w14:paraId="569FFF20">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4.环境影响评价文件未对危险废物处置设施进行评价或危险废物实际处置方式与环境影响评价文件不一致。得0分。</w:t>
            </w:r>
          </w:p>
        </w:tc>
        <w:tc>
          <w:tcPr>
            <w:tcW w:w="2150" w:type="dxa"/>
            <w:noWrap w:val="0"/>
            <w:vAlign w:val="center"/>
          </w:tcPr>
          <w:p w14:paraId="2E202D0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查阅相关资料（查看环评材料及批复、验收报告等）</w:t>
            </w:r>
          </w:p>
        </w:tc>
        <w:tc>
          <w:tcPr>
            <w:tcW w:w="614" w:type="dxa"/>
            <w:noWrap w:val="0"/>
            <w:vAlign w:val="center"/>
          </w:tcPr>
          <w:p w14:paraId="65C191B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6ABE0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vMerge w:val="continue"/>
            <w:noWrap w:val="0"/>
            <w:vAlign w:val="center"/>
          </w:tcPr>
          <w:p w14:paraId="5C3E8150">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tc>
        <w:tc>
          <w:tcPr>
            <w:tcW w:w="1936" w:type="dxa"/>
            <w:gridSpan w:val="2"/>
            <w:noWrap w:val="0"/>
            <w:vAlign w:val="center"/>
          </w:tcPr>
          <w:p w14:paraId="297BD90A">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23.符合运行环境管理要求。</w:t>
            </w:r>
          </w:p>
        </w:tc>
        <w:tc>
          <w:tcPr>
            <w:tcW w:w="696" w:type="dxa"/>
            <w:noWrap w:val="0"/>
            <w:vAlign w:val="center"/>
          </w:tcPr>
          <w:p w14:paraId="2B61EA8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w:t>
            </w:r>
          </w:p>
        </w:tc>
        <w:tc>
          <w:tcPr>
            <w:tcW w:w="696" w:type="dxa"/>
            <w:noWrap w:val="0"/>
            <w:vAlign w:val="center"/>
          </w:tcPr>
          <w:p w14:paraId="65D4CD2B">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trike/>
                <w:spacing w:val="-4"/>
                <w:kern w:val="0"/>
                <w:sz w:val="24"/>
                <w:szCs w:val="24"/>
              </w:rPr>
            </w:pPr>
          </w:p>
        </w:tc>
        <w:tc>
          <w:tcPr>
            <w:tcW w:w="2091" w:type="dxa"/>
            <w:gridSpan w:val="2"/>
            <w:noWrap w:val="0"/>
            <w:vAlign w:val="center"/>
          </w:tcPr>
          <w:p w14:paraId="683488A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trike/>
                <w:spacing w:val="-4"/>
                <w:kern w:val="0"/>
                <w:sz w:val="24"/>
                <w:szCs w:val="24"/>
              </w:rPr>
            </w:pPr>
            <w:r>
              <w:rPr>
                <w:rFonts w:hint="default" w:ascii="Times New Roman" w:hAnsi="Times New Roman" w:eastAsia="楷体_GB2312" w:cs="Times New Roman"/>
                <w:spacing w:val="-4"/>
                <w:kern w:val="0"/>
                <w:sz w:val="24"/>
                <w:szCs w:val="24"/>
              </w:rPr>
              <w:t>运行要求符合相关标准规范。</w:t>
            </w:r>
          </w:p>
        </w:tc>
        <w:tc>
          <w:tcPr>
            <w:tcW w:w="5200" w:type="dxa"/>
            <w:noWrap w:val="0"/>
            <w:vAlign w:val="center"/>
          </w:tcPr>
          <w:p w14:paraId="4A2DB51E">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default" w:ascii="Times New Roman" w:hAnsi="Times New Roman" w:eastAsia="楷体_GB2312" w:cs="Times New Roman"/>
                <w:strike/>
                <w:spacing w:val="-4"/>
                <w:kern w:val="0"/>
                <w:sz w:val="24"/>
                <w:szCs w:val="24"/>
              </w:rPr>
            </w:pPr>
            <w:r>
              <w:rPr>
                <w:rFonts w:hint="default" w:ascii="Times New Roman" w:hAnsi="Times New Roman" w:eastAsia="楷体_GB2312" w:cs="Times New Roman"/>
                <w:spacing w:val="-4"/>
                <w:kern w:val="0"/>
                <w:sz w:val="24"/>
                <w:szCs w:val="24"/>
              </w:rPr>
              <w:t>以焚烧、填埋、水泥窑等方式自行处置危险废物的运行要求符合国家和地方相关标准规范（如《危险废物焚烧污染控制标准》《危险废物填埋污染控制标准》《水泥窑协同处置固体废物污染控制标准》等）。得6分。根据实际情况，酌情打分。</w:t>
            </w:r>
          </w:p>
        </w:tc>
        <w:tc>
          <w:tcPr>
            <w:tcW w:w="2150" w:type="dxa"/>
            <w:noWrap w:val="0"/>
            <w:vAlign w:val="center"/>
          </w:tcPr>
          <w:p w14:paraId="12093F0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w:t>
            </w:r>
          </w:p>
        </w:tc>
        <w:tc>
          <w:tcPr>
            <w:tcW w:w="614" w:type="dxa"/>
            <w:noWrap w:val="0"/>
            <w:vAlign w:val="center"/>
          </w:tcPr>
          <w:p w14:paraId="4B02C64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30A3A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311" w:type="dxa"/>
            <w:noWrap w:val="0"/>
            <w:vAlign w:val="center"/>
          </w:tcPr>
          <w:p w14:paraId="67C0CB28">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十二、处置设施环境管理（《固废法》第十七条、第十八条、第十九条、第七十九条）</w:t>
            </w:r>
          </w:p>
        </w:tc>
        <w:tc>
          <w:tcPr>
            <w:tcW w:w="1936" w:type="dxa"/>
            <w:gridSpan w:val="2"/>
            <w:noWrap w:val="0"/>
            <w:vAlign w:val="center"/>
          </w:tcPr>
          <w:p w14:paraId="2209EB7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24.定期对处置设施污染物排放进行环境监测，并符合相关标准要求。</w:t>
            </w:r>
          </w:p>
        </w:tc>
        <w:tc>
          <w:tcPr>
            <w:tcW w:w="696" w:type="dxa"/>
            <w:noWrap w:val="0"/>
            <w:vAlign w:val="center"/>
          </w:tcPr>
          <w:p w14:paraId="3066E98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696" w:type="dxa"/>
            <w:noWrap w:val="0"/>
            <w:vAlign w:val="center"/>
          </w:tcPr>
          <w:p w14:paraId="39606AF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2091" w:type="dxa"/>
            <w:gridSpan w:val="2"/>
            <w:noWrap w:val="0"/>
            <w:vAlign w:val="center"/>
          </w:tcPr>
          <w:p w14:paraId="0DB78A8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监测点位、指标及频次符合要求，有定期环境监测报告，并且污染物排放符合相关标准要求。</w:t>
            </w:r>
          </w:p>
        </w:tc>
        <w:tc>
          <w:tcPr>
            <w:tcW w:w="5200" w:type="dxa"/>
            <w:noWrap w:val="0"/>
            <w:vAlign w:val="center"/>
          </w:tcPr>
          <w:p w14:paraId="7D4B10C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按照有关法律和排污单位自行监测技术指南等规定，建立企业监测制度，制定监测方案，且近一年内按照监测方案要求的监测点位、监测指标和监测频次对自行处置设施污染物排放情况进行了监测，有环境监测报告，并且污染物排放符合执行标准。得2分。</w:t>
            </w:r>
          </w:p>
          <w:p w14:paraId="757BE9ED">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2.近一年内有环境监测报告，并且污染物排放符合执行标准，但监测点位不符合要求或监测指标、频次不足。得1分。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3.近一年内未对污染物排放情况进行监测，或污染物超标排放。得0分。</w:t>
            </w:r>
          </w:p>
          <w:p w14:paraId="4F58372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注：企业可根据自身条件和能力，利用自有人员、场所和设备自行监测；也可委托其他有资质的检（监）测机构代其开展自行监测。</w:t>
            </w:r>
          </w:p>
        </w:tc>
        <w:tc>
          <w:tcPr>
            <w:tcW w:w="2150" w:type="dxa"/>
            <w:noWrap w:val="0"/>
            <w:vAlign w:val="center"/>
          </w:tcPr>
          <w:p w14:paraId="33CDECC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查阅相关资料（对照相关标准查看环境监测报告）、现场核查</w:t>
            </w:r>
          </w:p>
        </w:tc>
        <w:tc>
          <w:tcPr>
            <w:tcW w:w="614" w:type="dxa"/>
            <w:noWrap w:val="0"/>
            <w:vAlign w:val="center"/>
          </w:tcPr>
          <w:p w14:paraId="3847474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16AA3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3247" w:type="dxa"/>
            <w:gridSpan w:val="3"/>
            <w:noWrap w:val="0"/>
            <w:vAlign w:val="center"/>
          </w:tcPr>
          <w:p w14:paraId="4456602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b/>
                <w:spacing w:val="-4"/>
                <w:kern w:val="0"/>
                <w:sz w:val="24"/>
                <w:szCs w:val="24"/>
              </w:rPr>
              <w:t>合计</w:t>
            </w:r>
          </w:p>
        </w:tc>
        <w:tc>
          <w:tcPr>
            <w:tcW w:w="696" w:type="dxa"/>
            <w:noWrap w:val="0"/>
            <w:vAlign w:val="center"/>
          </w:tcPr>
          <w:p w14:paraId="7AB90D3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70</w:t>
            </w:r>
          </w:p>
        </w:tc>
        <w:tc>
          <w:tcPr>
            <w:tcW w:w="696" w:type="dxa"/>
            <w:noWrap w:val="0"/>
            <w:vAlign w:val="center"/>
          </w:tcPr>
          <w:p w14:paraId="5208022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trike/>
                <w:spacing w:val="-4"/>
                <w:kern w:val="0"/>
                <w:sz w:val="24"/>
                <w:szCs w:val="24"/>
              </w:rPr>
            </w:pPr>
          </w:p>
        </w:tc>
        <w:tc>
          <w:tcPr>
            <w:tcW w:w="10055" w:type="dxa"/>
            <w:gridSpan w:val="5"/>
            <w:noWrap w:val="0"/>
            <w:vAlign w:val="center"/>
          </w:tcPr>
          <w:p w14:paraId="5362FC2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w:t>
            </w:r>
          </w:p>
        </w:tc>
      </w:tr>
      <w:tr w14:paraId="266E84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40" w:hRule="atLeast"/>
        </w:trPr>
        <w:tc>
          <w:tcPr>
            <w:tcW w:w="1311" w:type="dxa"/>
            <w:noWrap w:val="0"/>
            <w:vAlign w:val="center"/>
          </w:tcPr>
          <w:p w14:paraId="5F11CD8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加分项</w:t>
            </w:r>
          </w:p>
        </w:tc>
        <w:tc>
          <w:tcPr>
            <w:tcW w:w="10619" w:type="dxa"/>
            <w:gridSpan w:val="7"/>
            <w:noWrap w:val="0"/>
            <w:vAlign w:val="center"/>
          </w:tcPr>
          <w:p w14:paraId="4034B48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A.在危险废物相关重点环节和关键节点应用视频监控的，加0.5分；在危险废物相关重点环节和关键节点应用电子标签的，加0.5分。</w:t>
            </w:r>
          </w:p>
          <w:p w14:paraId="586E418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B.对管理人员和从事危险废物收集、运输、贮存、利用和处置等工作的人员进行培训的，加0.5分；参加培训人员对危险废物管理制度、相应岗位危险废物管理要求等较熟悉的，加0.5分。</w:t>
            </w:r>
          </w:p>
          <w:p w14:paraId="374559A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C.投保环境污染责任保险的，加1分。</w:t>
            </w:r>
          </w:p>
        </w:tc>
        <w:tc>
          <w:tcPr>
            <w:tcW w:w="2150" w:type="dxa"/>
            <w:noWrap w:val="0"/>
            <w:vAlign w:val="center"/>
          </w:tcPr>
          <w:p w14:paraId="3F54386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w:t>
            </w:r>
          </w:p>
        </w:tc>
        <w:tc>
          <w:tcPr>
            <w:tcW w:w="614" w:type="dxa"/>
            <w:noWrap w:val="0"/>
            <w:vAlign w:val="center"/>
          </w:tcPr>
          <w:p w14:paraId="1BE3F34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3AE7C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20" w:hRule="atLeast"/>
        </w:trPr>
        <w:tc>
          <w:tcPr>
            <w:tcW w:w="1311" w:type="dxa"/>
            <w:noWrap w:val="0"/>
            <w:vAlign w:val="center"/>
          </w:tcPr>
          <w:p w14:paraId="24BF4D2A">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否决项</w:t>
            </w:r>
          </w:p>
        </w:tc>
        <w:tc>
          <w:tcPr>
            <w:tcW w:w="10619" w:type="dxa"/>
            <w:gridSpan w:val="7"/>
            <w:noWrap w:val="0"/>
            <w:vAlign w:val="center"/>
          </w:tcPr>
          <w:p w14:paraId="00B64DF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A.擅自转移、倾倒、堆放危险废物的。</w:t>
            </w:r>
          </w:p>
          <w:p w14:paraId="790FB37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B.将危险废物（收集/利用/处置环节豁免的除外）提供或者委托给无许可证的单位或者其他生产经营者从事经营活动的。</w:t>
            </w:r>
          </w:p>
          <w:p w14:paraId="62DF690B">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C.未运行联单擅自转移危险废物或未经批准擅自跨省（自治区、直辖市）、跨境转移危险废物的。</w:t>
            </w:r>
          </w:p>
          <w:p w14:paraId="74F690E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D.由于危险废物管理不当导致突发环境事件发生的。</w:t>
            </w:r>
          </w:p>
          <w:p w14:paraId="5137A69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E.执行台账和申报制度存在不报或虚报、瞒报危险废物的。</w:t>
            </w:r>
          </w:p>
        </w:tc>
        <w:tc>
          <w:tcPr>
            <w:tcW w:w="2150" w:type="dxa"/>
            <w:noWrap w:val="0"/>
            <w:vAlign w:val="center"/>
          </w:tcPr>
          <w:p w14:paraId="3610154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现场核查</w:t>
            </w:r>
          </w:p>
        </w:tc>
        <w:tc>
          <w:tcPr>
            <w:tcW w:w="614" w:type="dxa"/>
            <w:noWrap w:val="0"/>
            <w:vAlign w:val="center"/>
          </w:tcPr>
          <w:p w14:paraId="3C10BDA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r>
      <w:tr w14:paraId="51713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2792" w:type="dxa"/>
            <w:gridSpan w:val="2"/>
            <w:noWrap w:val="0"/>
            <w:vAlign w:val="center"/>
          </w:tcPr>
          <w:p w14:paraId="3D32AD7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b/>
                <w:bCs/>
                <w:spacing w:val="-4"/>
                <w:kern w:val="0"/>
                <w:sz w:val="24"/>
                <w:szCs w:val="24"/>
              </w:rPr>
              <w:t>评估得分</w:t>
            </w:r>
          </w:p>
        </w:tc>
        <w:tc>
          <w:tcPr>
            <w:tcW w:w="3794" w:type="dxa"/>
            <w:gridSpan w:val="4"/>
            <w:noWrap w:val="0"/>
            <w:vAlign w:val="center"/>
          </w:tcPr>
          <w:p w14:paraId="20D8951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p>
        </w:tc>
        <w:tc>
          <w:tcPr>
            <w:tcW w:w="8108" w:type="dxa"/>
            <w:gridSpan w:val="4"/>
            <w:noWrap w:val="0"/>
            <w:vAlign w:val="center"/>
          </w:tcPr>
          <w:p w14:paraId="4D12B63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b/>
                <w:bCs/>
                <w:spacing w:val="-4"/>
                <w:kern w:val="0"/>
                <w:sz w:val="24"/>
                <w:szCs w:val="24"/>
              </w:rPr>
              <w:t>评估结果：达标□基本达标□不达标□</w:t>
            </w:r>
          </w:p>
        </w:tc>
      </w:tr>
      <w:tr w14:paraId="32592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14694" w:type="dxa"/>
            <w:gridSpan w:val="10"/>
            <w:noWrap w:val="0"/>
            <w:vAlign w:val="center"/>
          </w:tcPr>
          <w:p w14:paraId="6F5FC63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说明：</w:t>
            </w:r>
          </w:p>
          <w:p w14:paraId="035E97F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1.工作组应当至少包括2名具有环境执法证件的人员，可邀请专家参与检查。</w:t>
            </w:r>
          </w:p>
          <w:p w14:paraId="3E9AE5C8">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2.评估人员要做好记录并签字。</w:t>
            </w:r>
          </w:p>
          <w:p w14:paraId="2307EC6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3.对危险废物流向、贮存、利用、处置等信息，要核查原始凭证。</w:t>
            </w:r>
          </w:p>
          <w:p w14:paraId="123E011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4.根据评分要点给出得分。</w:t>
            </w:r>
          </w:p>
          <w:p w14:paraId="17425BD1">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5.备注栏可对评估情况进行简要记录。</w:t>
            </w:r>
          </w:p>
          <w:p w14:paraId="50563A7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6.评估内容不适用的，计为0分，并将该项分值从满分中扣除后，按比例换算达标、基本达标、不达标界值。</w:t>
            </w:r>
          </w:p>
          <w:p w14:paraId="45C82965">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7.加分项目以当年是否开展为准。</w:t>
            </w:r>
          </w:p>
          <w:p w14:paraId="65AE935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8.否决项，即该项不得分，则评估结果为不达标。</w:t>
            </w:r>
          </w:p>
          <w:p w14:paraId="0C90AC5E">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9.评估标准：</w:t>
            </w:r>
          </w:p>
          <w:p w14:paraId="25625000">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（1）无自行利用或处置设施的产废单位满分为50分，40（含）-50分为达标，30（含）-40分为基本达标；30分以下为不达标。</w:t>
            </w:r>
          </w:p>
          <w:p w14:paraId="0B85BE24">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（2）有自行利用或处置设施的产废单位满分为60分，48（含）-60分为达标，36（含）-48分为基本达标，36分以下为不达标。</w:t>
            </w:r>
          </w:p>
          <w:p w14:paraId="7D48EFE3">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（3）有自行利用和处置设施的产废单位满分为70分，56（含）-70分为达标，42（含）-56分为基本达标，42分以下为不达标。</w:t>
            </w:r>
          </w:p>
          <w:p w14:paraId="284329CA">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10.非工业源危险废物产生单位（医疗机构、实验室、机动车保养维修等单位）规范化环境管理评估指标可以参照本表。</w:t>
            </w:r>
          </w:p>
        </w:tc>
      </w:tr>
    </w:tbl>
    <w:p w14:paraId="55B7DFEB">
      <w:pPr>
        <w:adjustRightInd w:val="0"/>
        <w:snapToGrid w:val="0"/>
        <w:spacing w:line="288" w:lineRule="auto"/>
        <w:ind w:firstLine="960" w:firstLineChars="300"/>
        <w:jc w:val="center"/>
        <w:rPr>
          <w:rFonts w:ascii="黑体" w:hAnsi="黑体" w:eastAsia="黑体" w:cs="黑体"/>
          <w:kern w:val="0"/>
          <w:sz w:val="32"/>
          <w:szCs w:val="32"/>
        </w:rPr>
        <w:sectPr>
          <w:footerReference r:id="rId3" w:type="default"/>
          <w:pgSz w:w="16838" w:h="11906" w:orient="landscape"/>
          <w:pgMar w:top="1417" w:right="1134" w:bottom="1417" w:left="1134" w:header="851" w:footer="992" w:gutter="0"/>
          <w:pgNumType w:fmt="decimal" w:start="7"/>
          <w:cols w:space="0" w:num="1"/>
          <w:rtlGutter w:val="0"/>
          <w:docGrid w:type="lines" w:linePitch="312" w:charSpace="0"/>
        </w:sectPr>
      </w:pPr>
    </w:p>
    <w:p w14:paraId="65F7ADBD">
      <w:pPr>
        <w:autoSpaceDE w:val="0"/>
        <w:autoSpaceDN w:val="0"/>
        <w:adjustRightInd w:val="0"/>
        <w:snapToGrid w:val="0"/>
        <w:jc w:val="center"/>
        <w:rPr>
          <w:rFonts w:hint="eastAsia" w:ascii="方正小标宋_GBK" w:eastAsia="方正小标宋_GBK"/>
          <w:bCs/>
          <w:kern w:val="0"/>
          <w:sz w:val="38"/>
          <w:szCs w:val="38"/>
        </w:rPr>
      </w:pPr>
      <w:r>
        <w:rPr>
          <w:rFonts w:hint="eastAsia" w:ascii="方正小标宋_GBK" w:eastAsia="方正小标宋_GBK"/>
          <w:bCs/>
          <w:kern w:val="0"/>
          <w:sz w:val="38"/>
          <w:szCs w:val="38"/>
        </w:rPr>
        <w:t>表3  危险废物规范化环境管理评估指标（危险废物经营单位）</w:t>
      </w:r>
    </w:p>
    <w:tbl>
      <w:tblPr>
        <w:tblStyle w:val="5"/>
        <w:tblW w:w="1474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19"/>
        <w:gridCol w:w="720"/>
        <w:gridCol w:w="710"/>
        <w:gridCol w:w="1850"/>
        <w:gridCol w:w="394"/>
        <w:gridCol w:w="4726"/>
        <w:gridCol w:w="2266"/>
        <w:gridCol w:w="705"/>
      </w:tblGrid>
      <w:tr w14:paraId="7B4C44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058" w:type="dxa"/>
            <w:vMerge w:val="restart"/>
            <w:noWrap w:val="0"/>
            <w:vAlign w:val="center"/>
          </w:tcPr>
          <w:p w14:paraId="139DD351">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评估项目</w:t>
            </w:r>
          </w:p>
        </w:tc>
        <w:tc>
          <w:tcPr>
            <w:tcW w:w="2319" w:type="dxa"/>
            <w:vMerge w:val="restart"/>
            <w:noWrap w:val="0"/>
            <w:vAlign w:val="center"/>
          </w:tcPr>
          <w:p w14:paraId="239CD505">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评估主要内容</w:t>
            </w:r>
          </w:p>
        </w:tc>
        <w:tc>
          <w:tcPr>
            <w:tcW w:w="1430" w:type="dxa"/>
            <w:gridSpan w:val="2"/>
            <w:noWrap w:val="0"/>
            <w:vAlign w:val="center"/>
          </w:tcPr>
          <w:p w14:paraId="100D194E">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分数</w:t>
            </w:r>
          </w:p>
        </w:tc>
        <w:tc>
          <w:tcPr>
            <w:tcW w:w="1850" w:type="dxa"/>
            <w:vMerge w:val="restart"/>
            <w:noWrap w:val="0"/>
            <w:vAlign w:val="center"/>
          </w:tcPr>
          <w:p w14:paraId="13B5451E">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评估标准</w:t>
            </w:r>
          </w:p>
        </w:tc>
        <w:tc>
          <w:tcPr>
            <w:tcW w:w="5120" w:type="dxa"/>
            <w:gridSpan w:val="2"/>
            <w:vMerge w:val="restart"/>
            <w:noWrap w:val="0"/>
            <w:vAlign w:val="center"/>
          </w:tcPr>
          <w:p w14:paraId="59935795">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w:t>
            </w:r>
            <w:r>
              <w:rPr>
                <w:rFonts w:hint="default" w:eastAsia="楷体_GB2312" w:cs="Times New Roman"/>
                <w:b/>
                <w:bCs/>
                <w:spacing w:val="-4"/>
                <w:kern w:val="0"/>
                <w:sz w:val="24"/>
                <w:szCs w:val="24"/>
                <w:lang w:val="en"/>
              </w:rPr>
              <w:t xml:space="preserve">   </w:t>
            </w:r>
            <w:r>
              <w:rPr>
                <w:rFonts w:hint="default" w:ascii="Times New Roman" w:hAnsi="Times New Roman" w:eastAsia="楷体_GB2312" w:cs="Times New Roman"/>
                <w:b/>
                <w:bCs/>
                <w:spacing w:val="-4"/>
                <w:kern w:val="0"/>
                <w:sz w:val="24"/>
                <w:szCs w:val="24"/>
              </w:rPr>
              <w:t>分</w:t>
            </w:r>
            <w:r>
              <w:rPr>
                <w:rFonts w:hint="default" w:eastAsia="楷体_GB2312" w:cs="Times New Roman"/>
                <w:b/>
                <w:bCs/>
                <w:spacing w:val="-4"/>
                <w:kern w:val="0"/>
                <w:sz w:val="24"/>
                <w:szCs w:val="24"/>
                <w:lang w:val="en"/>
              </w:rPr>
              <w:t xml:space="preserve">   </w:t>
            </w:r>
            <w:r>
              <w:rPr>
                <w:rFonts w:hint="default" w:ascii="Times New Roman" w:hAnsi="Times New Roman" w:eastAsia="楷体_GB2312" w:cs="Times New Roman"/>
                <w:b/>
                <w:bCs/>
                <w:spacing w:val="-4"/>
                <w:kern w:val="0"/>
                <w:sz w:val="24"/>
                <w:szCs w:val="24"/>
              </w:rPr>
              <w:t>要</w:t>
            </w:r>
            <w:r>
              <w:rPr>
                <w:rFonts w:hint="default" w:eastAsia="楷体_GB2312" w:cs="Times New Roman"/>
                <w:b/>
                <w:bCs/>
                <w:spacing w:val="-4"/>
                <w:kern w:val="0"/>
                <w:sz w:val="24"/>
                <w:szCs w:val="24"/>
                <w:lang w:val="en"/>
              </w:rPr>
              <w:t xml:space="preserve">   </w:t>
            </w:r>
            <w:r>
              <w:rPr>
                <w:rFonts w:hint="default" w:ascii="Times New Roman" w:hAnsi="Times New Roman" w:eastAsia="楷体_GB2312" w:cs="Times New Roman"/>
                <w:b/>
                <w:bCs/>
                <w:spacing w:val="-4"/>
                <w:kern w:val="0"/>
                <w:sz w:val="24"/>
                <w:szCs w:val="24"/>
              </w:rPr>
              <w:t>点</w:t>
            </w:r>
          </w:p>
        </w:tc>
        <w:tc>
          <w:tcPr>
            <w:tcW w:w="2266" w:type="dxa"/>
            <w:vMerge w:val="restart"/>
            <w:noWrap w:val="0"/>
            <w:vAlign w:val="center"/>
          </w:tcPr>
          <w:p w14:paraId="36EAEE08">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评估方法</w:t>
            </w:r>
          </w:p>
        </w:tc>
        <w:tc>
          <w:tcPr>
            <w:tcW w:w="705" w:type="dxa"/>
            <w:vMerge w:val="restart"/>
            <w:noWrap w:val="0"/>
            <w:vAlign w:val="center"/>
          </w:tcPr>
          <w:p w14:paraId="6C4ABE00">
            <w:pPr>
              <w:widowControl/>
              <w:adjustRightInd w:val="0"/>
              <w:snapToGrid w:val="0"/>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备注</w:t>
            </w:r>
          </w:p>
        </w:tc>
      </w:tr>
      <w:tr w14:paraId="6895F0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058" w:type="dxa"/>
            <w:vMerge w:val="continue"/>
            <w:noWrap w:val="0"/>
            <w:vAlign w:val="center"/>
          </w:tcPr>
          <w:p w14:paraId="215555EC">
            <w:pPr>
              <w:widowControl/>
              <w:adjustRightInd w:val="0"/>
              <w:snapToGrid w:val="0"/>
              <w:spacing w:before="100" w:beforeAutospacing="1" w:after="100" w:afterAutospacing="1"/>
              <w:outlineLvl w:val="2"/>
              <w:rPr>
                <w:rFonts w:hint="default" w:ascii="Times New Roman" w:hAnsi="Times New Roman" w:eastAsia="楷体_GB2312" w:cs="Times New Roman"/>
                <w:b/>
                <w:bCs/>
                <w:spacing w:val="-4"/>
                <w:kern w:val="0"/>
                <w:sz w:val="24"/>
                <w:szCs w:val="24"/>
              </w:rPr>
            </w:pPr>
          </w:p>
        </w:tc>
        <w:tc>
          <w:tcPr>
            <w:tcW w:w="2319" w:type="dxa"/>
            <w:vMerge w:val="continue"/>
            <w:noWrap w:val="0"/>
            <w:vAlign w:val="center"/>
          </w:tcPr>
          <w:p w14:paraId="53501DD5">
            <w:pPr>
              <w:widowControl/>
              <w:adjustRightInd w:val="0"/>
              <w:snapToGrid w:val="0"/>
              <w:spacing w:before="100" w:beforeAutospacing="1" w:after="100" w:afterAutospacing="1"/>
              <w:jc w:val="center"/>
              <w:outlineLvl w:val="2"/>
              <w:rPr>
                <w:rFonts w:hint="default" w:ascii="Times New Roman" w:hAnsi="Times New Roman" w:eastAsia="楷体_GB2312" w:cs="Times New Roman"/>
                <w:b/>
                <w:bCs/>
                <w:spacing w:val="-4"/>
                <w:kern w:val="0"/>
                <w:sz w:val="24"/>
                <w:szCs w:val="24"/>
              </w:rPr>
            </w:pPr>
          </w:p>
        </w:tc>
        <w:tc>
          <w:tcPr>
            <w:tcW w:w="720" w:type="dxa"/>
            <w:noWrap w:val="0"/>
            <w:vAlign w:val="center"/>
          </w:tcPr>
          <w:p w14:paraId="5A5F940B">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满分</w:t>
            </w:r>
          </w:p>
        </w:tc>
        <w:tc>
          <w:tcPr>
            <w:tcW w:w="710" w:type="dxa"/>
            <w:noWrap w:val="0"/>
            <w:vAlign w:val="center"/>
          </w:tcPr>
          <w:p w14:paraId="2608C476">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得分</w:t>
            </w:r>
          </w:p>
        </w:tc>
        <w:tc>
          <w:tcPr>
            <w:tcW w:w="1850" w:type="dxa"/>
            <w:vMerge w:val="continue"/>
            <w:noWrap w:val="0"/>
            <w:vAlign w:val="center"/>
          </w:tcPr>
          <w:p w14:paraId="06A05071">
            <w:pPr>
              <w:widowControl/>
              <w:adjustRightInd w:val="0"/>
              <w:snapToGrid w:val="0"/>
              <w:spacing w:before="100" w:beforeAutospacing="1" w:after="100" w:afterAutospacing="1"/>
              <w:jc w:val="center"/>
              <w:outlineLvl w:val="0"/>
              <w:rPr>
                <w:rFonts w:hint="default" w:ascii="Times New Roman" w:hAnsi="Times New Roman" w:eastAsia="楷体_GB2312" w:cs="Times New Roman"/>
                <w:b/>
                <w:bCs/>
                <w:spacing w:val="-4"/>
                <w:kern w:val="0"/>
                <w:sz w:val="24"/>
                <w:szCs w:val="24"/>
              </w:rPr>
            </w:pPr>
          </w:p>
        </w:tc>
        <w:tc>
          <w:tcPr>
            <w:tcW w:w="5120" w:type="dxa"/>
            <w:gridSpan w:val="2"/>
            <w:vMerge w:val="continue"/>
            <w:noWrap w:val="0"/>
            <w:vAlign w:val="center"/>
          </w:tcPr>
          <w:p w14:paraId="21BEED21">
            <w:pPr>
              <w:widowControl/>
              <w:adjustRightInd w:val="0"/>
              <w:snapToGrid w:val="0"/>
              <w:spacing w:before="100" w:beforeAutospacing="1" w:after="100" w:afterAutospacing="1"/>
              <w:jc w:val="center"/>
              <w:outlineLvl w:val="0"/>
              <w:rPr>
                <w:rFonts w:hint="default" w:ascii="Times New Roman" w:hAnsi="Times New Roman" w:eastAsia="楷体_GB2312" w:cs="Times New Roman"/>
                <w:b/>
                <w:bCs/>
                <w:spacing w:val="-4"/>
                <w:kern w:val="0"/>
                <w:sz w:val="24"/>
                <w:szCs w:val="24"/>
              </w:rPr>
            </w:pPr>
          </w:p>
        </w:tc>
        <w:tc>
          <w:tcPr>
            <w:tcW w:w="2266" w:type="dxa"/>
            <w:vMerge w:val="continue"/>
            <w:noWrap w:val="0"/>
            <w:vAlign w:val="center"/>
          </w:tcPr>
          <w:p w14:paraId="5EA81D4E">
            <w:pPr>
              <w:widowControl/>
              <w:adjustRightInd w:val="0"/>
              <w:snapToGrid w:val="0"/>
              <w:spacing w:before="100" w:beforeAutospacing="1" w:after="100" w:afterAutospacing="1"/>
              <w:jc w:val="center"/>
              <w:outlineLvl w:val="0"/>
              <w:rPr>
                <w:rFonts w:hint="default" w:ascii="Times New Roman" w:hAnsi="Times New Roman" w:eastAsia="楷体_GB2312" w:cs="Times New Roman"/>
                <w:b/>
                <w:bCs/>
                <w:spacing w:val="-4"/>
                <w:kern w:val="0"/>
                <w:sz w:val="24"/>
                <w:szCs w:val="24"/>
              </w:rPr>
            </w:pPr>
          </w:p>
        </w:tc>
        <w:tc>
          <w:tcPr>
            <w:tcW w:w="705" w:type="dxa"/>
            <w:vMerge w:val="continue"/>
            <w:noWrap w:val="0"/>
            <w:vAlign w:val="center"/>
          </w:tcPr>
          <w:p w14:paraId="0719C6FC">
            <w:pPr>
              <w:widowControl/>
              <w:adjustRightInd w:val="0"/>
              <w:snapToGrid w:val="0"/>
              <w:spacing w:before="100" w:beforeAutospacing="1" w:after="100" w:afterAutospacing="1"/>
              <w:jc w:val="center"/>
              <w:outlineLvl w:val="0"/>
              <w:rPr>
                <w:rFonts w:hint="default" w:ascii="Times New Roman" w:hAnsi="Times New Roman" w:eastAsia="楷体_GB2312" w:cs="Times New Roman"/>
                <w:b/>
                <w:bCs/>
                <w:spacing w:val="-4"/>
                <w:kern w:val="0"/>
                <w:sz w:val="24"/>
                <w:szCs w:val="24"/>
              </w:rPr>
            </w:pPr>
          </w:p>
        </w:tc>
      </w:tr>
      <w:tr w14:paraId="147EF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8" w:type="dxa"/>
            <w:vMerge w:val="restart"/>
            <w:noWrap w:val="0"/>
            <w:vAlign w:val="center"/>
          </w:tcPr>
          <w:p w14:paraId="028A0E67">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一、经营许可证制度（《固废法》第八十条）</w:t>
            </w:r>
          </w:p>
        </w:tc>
        <w:tc>
          <w:tcPr>
            <w:tcW w:w="2319" w:type="dxa"/>
            <w:noWrap w:val="0"/>
            <w:vAlign w:val="center"/>
          </w:tcPr>
          <w:p w14:paraId="54C7EE32">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1.按照危险废物经营许可证规定从事危险废物收集、贮存、利用、处置等经营活动。</w:t>
            </w:r>
          </w:p>
        </w:tc>
        <w:tc>
          <w:tcPr>
            <w:tcW w:w="720" w:type="dxa"/>
            <w:noWrap w:val="0"/>
            <w:vAlign w:val="center"/>
          </w:tcPr>
          <w:p w14:paraId="0ACF9A35">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w:t>
            </w:r>
          </w:p>
        </w:tc>
        <w:tc>
          <w:tcPr>
            <w:tcW w:w="710" w:type="dxa"/>
            <w:noWrap w:val="0"/>
            <w:vAlign w:val="center"/>
          </w:tcPr>
          <w:p w14:paraId="76181D05">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14:paraId="0A244225">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严格按照危险废物经营许可证规定从事经营活动。</w:t>
            </w:r>
          </w:p>
        </w:tc>
        <w:tc>
          <w:tcPr>
            <w:tcW w:w="5120" w:type="dxa"/>
            <w:gridSpan w:val="2"/>
            <w:noWrap w:val="0"/>
            <w:vAlign w:val="center"/>
          </w:tcPr>
          <w:p w14:paraId="6BA81806">
            <w:pPr>
              <w:widowControl/>
              <w:adjustRightInd w:val="0"/>
              <w:snapToGrid w:val="0"/>
              <w:spacing w:line="21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1.严格按照危险废物经营许可证规定从事经营活动。得4分。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2.未按照危险废物经营许可证规定从事经营活动。得0分。</w:t>
            </w:r>
          </w:p>
          <w:p w14:paraId="1EFC27EF">
            <w:pPr>
              <w:widowControl/>
              <w:adjustRightInd w:val="0"/>
              <w:snapToGrid w:val="0"/>
              <w:spacing w:line="21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注：以下情形均为未按照危险废物经营许可证规定从事经营活动的行为：</w:t>
            </w:r>
          </w:p>
          <w:p w14:paraId="4077ADCA">
            <w:pPr>
              <w:widowControl/>
              <w:adjustRightInd w:val="0"/>
              <w:snapToGrid w:val="0"/>
              <w:spacing w:line="21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A.不遵守许可证中所注明或附加的条件，不依许可证中所规定的种类、性质、方式、数量、经营时限等条件接受危险废物。</w:t>
            </w:r>
          </w:p>
          <w:p w14:paraId="58DC5E42">
            <w:pPr>
              <w:widowControl/>
              <w:adjustRightInd w:val="0"/>
              <w:snapToGrid w:val="0"/>
              <w:spacing w:line="218" w:lineRule="auto"/>
              <w:jc w:val="left"/>
              <w:rPr>
                <w:rFonts w:hint="default" w:ascii="Times New Roman" w:hAnsi="Times New Roman" w:eastAsia="楷体_GB2312" w:cs="Times New Roman"/>
                <w:spacing w:val="-5"/>
                <w:kern w:val="0"/>
                <w:sz w:val="24"/>
                <w:szCs w:val="24"/>
              </w:rPr>
            </w:pPr>
            <w:r>
              <w:rPr>
                <w:rFonts w:hint="default" w:ascii="Times New Roman" w:hAnsi="Times New Roman" w:eastAsia="楷体_GB2312" w:cs="Times New Roman"/>
                <w:spacing w:val="-5"/>
                <w:kern w:val="0"/>
                <w:sz w:val="24"/>
                <w:szCs w:val="24"/>
              </w:rPr>
              <w:t>B.不依取得许可证时规定的条件和要求建设、配备、使用、管理有关设施、设备和配备、培训人员。</w:t>
            </w:r>
          </w:p>
          <w:p w14:paraId="41DF1951">
            <w:pPr>
              <w:widowControl/>
              <w:adjustRightInd w:val="0"/>
              <w:snapToGrid w:val="0"/>
              <w:spacing w:line="218" w:lineRule="auto"/>
              <w:jc w:val="left"/>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4"/>
                <w:kern w:val="0"/>
                <w:sz w:val="24"/>
                <w:szCs w:val="24"/>
              </w:rPr>
              <w:t>C.在许可证使用期满时，不按规定上缴、注销许可证或申请办理延期手续。</w:t>
            </w:r>
          </w:p>
        </w:tc>
        <w:tc>
          <w:tcPr>
            <w:tcW w:w="2266" w:type="dxa"/>
            <w:noWrap w:val="0"/>
            <w:vAlign w:val="center"/>
          </w:tcPr>
          <w:p w14:paraId="6DA4DA83">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查阅相关资料、现场核查（对照所持危险废物经营许可证的相关规定核对是否按要求从事经营活动）</w:t>
            </w:r>
          </w:p>
        </w:tc>
        <w:tc>
          <w:tcPr>
            <w:tcW w:w="705" w:type="dxa"/>
            <w:noWrap w:val="0"/>
            <w:vAlign w:val="center"/>
          </w:tcPr>
          <w:p w14:paraId="55B682A6">
            <w:pPr>
              <w:widowControl/>
              <w:adjustRightInd w:val="0"/>
              <w:snapToGrid w:val="0"/>
              <w:jc w:val="left"/>
              <w:rPr>
                <w:rFonts w:hint="default" w:ascii="Times New Roman" w:hAnsi="Times New Roman" w:eastAsia="楷体_GB2312" w:cs="Times New Roman"/>
                <w:spacing w:val="-4"/>
                <w:kern w:val="0"/>
                <w:sz w:val="24"/>
                <w:szCs w:val="24"/>
              </w:rPr>
            </w:pPr>
          </w:p>
        </w:tc>
      </w:tr>
      <w:tr w14:paraId="67B88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8" w:type="dxa"/>
            <w:vMerge w:val="continue"/>
            <w:noWrap w:val="0"/>
            <w:vAlign w:val="center"/>
          </w:tcPr>
          <w:p w14:paraId="33B04736">
            <w:pPr>
              <w:widowControl/>
              <w:adjustRightInd w:val="0"/>
              <w:snapToGrid w:val="0"/>
              <w:spacing w:line="218" w:lineRule="auto"/>
              <w:rPr>
                <w:rFonts w:hint="default" w:ascii="Times New Roman" w:hAnsi="Times New Roman" w:eastAsia="楷体_GB2312" w:cs="Times New Roman"/>
                <w:spacing w:val="-4"/>
                <w:kern w:val="0"/>
                <w:sz w:val="24"/>
                <w:szCs w:val="24"/>
              </w:rPr>
            </w:pPr>
          </w:p>
        </w:tc>
        <w:tc>
          <w:tcPr>
            <w:tcW w:w="2319" w:type="dxa"/>
            <w:noWrap w:val="0"/>
            <w:vAlign w:val="center"/>
          </w:tcPr>
          <w:p w14:paraId="5493576D">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2.危险废物收集许可证持有单位，应当在规定的时限内将收集的危险废物提供或者委托给利用、处置单位进行利用或者处置。（仅适用于持危险废物收集经营许可证的单位）</w:t>
            </w:r>
          </w:p>
        </w:tc>
        <w:tc>
          <w:tcPr>
            <w:tcW w:w="720" w:type="dxa"/>
            <w:noWrap w:val="0"/>
            <w:vAlign w:val="center"/>
          </w:tcPr>
          <w:p w14:paraId="315E6931">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14:paraId="54544A2D">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14:paraId="6F3F8545">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在规定的时限内将危险废物转移给利用、处置单位。</w:t>
            </w:r>
          </w:p>
        </w:tc>
        <w:tc>
          <w:tcPr>
            <w:tcW w:w="5120" w:type="dxa"/>
            <w:gridSpan w:val="2"/>
            <w:noWrap w:val="0"/>
            <w:vAlign w:val="center"/>
          </w:tcPr>
          <w:p w14:paraId="4F5C3B8F">
            <w:pPr>
              <w:widowControl/>
              <w:adjustRightInd w:val="0"/>
              <w:snapToGrid w:val="0"/>
              <w:spacing w:line="21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1.在规定的时限内将收集的危险废物转移给具有相应资质的单位处理，能提供相应的合同、危险废物经营许可证及经营管理台账等相关证明材料，超期的提供发证生态环境主管部门同意延期的证明材料。得1分。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2.未在规定的时限内将收集的危险废物转移给具有相应资质的单位、且不能提供发证生态环境主管部门同意延期的证明材料，或未提供相应的合同、危险废物经营许可证及经营管理台账等相关证明材料。得0分。</w:t>
            </w:r>
          </w:p>
        </w:tc>
        <w:tc>
          <w:tcPr>
            <w:tcW w:w="2266" w:type="dxa"/>
            <w:noWrap w:val="0"/>
            <w:vAlign w:val="center"/>
          </w:tcPr>
          <w:p w14:paraId="4DB0016A">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查阅相关资料（查看接收合同和接收单位的危险废物经营许可证等相关材料；查看经营管理台账）</w:t>
            </w:r>
          </w:p>
        </w:tc>
        <w:tc>
          <w:tcPr>
            <w:tcW w:w="705" w:type="dxa"/>
            <w:noWrap w:val="0"/>
            <w:vAlign w:val="center"/>
          </w:tcPr>
          <w:p w14:paraId="2FBD369F">
            <w:pPr>
              <w:widowControl/>
              <w:adjustRightInd w:val="0"/>
              <w:snapToGrid w:val="0"/>
              <w:jc w:val="left"/>
              <w:rPr>
                <w:rFonts w:hint="default" w:ascii="Times New Roman" w:hAnsi="Times New Roman" w:eastAsia="楷体_GB2312" w:cs="Times New Roman"/>
                <w:spacing w:val="-4"/>
                <w:kern w:val="0"/>
                <w:sz w:val="24"/>
                <w:szCs w:val="24"/>
              </w:rPr>
            </w:pPr>
          </w:p>
        </w:tc>
      </w:tr>
      <w:tr w14:paraId="64BBD2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058" w:type="dxa"/>
            <w:vMerge w:val="restart"/>
            <w:noWrap w:val="0"/>
            <w:vAlign w:val="center"/>
          </w:tcPr>
          <w:p w14:paraId="67F2D8E9">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二、标识制度（《固废法》第七十七条）</w:t>
            </w:r>
          </w:p>
        </w:tc>
        <w:tc>
          <w:tcPr>
            <w:tcW w:w="2319" w:type="dxa"/>
            <w:noWrap w:val="0"/>
            <w:vAlign w:val="center"/>
          </w:tcPr>
          <w:p w14:paraId="57FC7FFA">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3.危险废物的容器和包装物应当按照规定设置危险废物识别标志。</w:t>
            </w:r>
          </w:p>
        </w:tc>
        <w:tc>
          <w:tcPr>
            <w:tcW w:w="720" w:type="dxa"/>
            <w:noWrap w:val="0"/>
            <w:vAlign w:val="center"/>
          </w:tcPr>
          <w:p w14:paraId="0CBE579B">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14:paraId="09F5BBDF">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14:paraId="4F3784B2">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依据国家和地方相关标准规范所示标签设置危险废物识别标志。</w:t>
            </w:r>
          </w:p>
        </w:tc>
        <w:tc>
          <w:tcPr>
            <w:tcW w:w="5120" w:type="dxa"/>
            <w:gridSpan w:val="2"/>
            <w:noWrap w:val="0"/>
            <w:vAlign w:val="center"/>
          </w:tcPr>
          <w:p w14:paraId="5FB6F61D">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1.设置了规范的（样式正确、内容填写真实完整）危险废物识别标志。得1分。</w:t>
            </w:r>
            <w:r>
              <w:rPr>
                <w:rFonts w:hint="default" w:ascii="Times New Roman" w:hAnsi="Times New Roman" w:eastAsia="楷体_GB2312" w:cs="Times New Roman"/>
                <w:spacing w:val="-6"/>
                <w:kern w:val="0"/>
                <w:sz w:val="24"/>
                <w:szCs w:val="24"/>
              </w:rPr>
              <w:br w:type="textWrapping"/>
            </w:r>
            <w:r>
              <w:rPr>
                <w:rFonts w:hint="default" w:ascii="Times New Roman" w:hAnsi="Times New Roman" w:eastAsia="楷体_GB2312" w:cs="Times New Roman"/>
                <w:spacing w:val="-6"/>
                <w:kern w:val="0"/>
                <w:sz w:val="24"/>
                <w:szCs w:val="24"/>
              </w:rPr>
              <w:t>2.识别标志样式或填写内容有1处错误。得0.5分。</w:t>
            </w:r>
          </w:p>
          <w:p w14:paraId="37FBFCCC">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3.未设置识别标志或识别标志样式不正确、填写内容有2处及以上错误。得0分。</w:t>
            </w:r>
          </w:p>
        </w:tc>
        <w:tc>
          <w:tcPr>
            <w:tcW w:w="2266" w:type="dxa"/>
            <w:noWrap w:val="0"/>
            <w:vAlign w:val="center"/>
          </w:tcPr>
          <w:p w14:paraId="45C91AC2">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现场核查</w:t>
            </w:r>
          </w:p>
        </w:tc>
        <w:tc>
          <w:tcPr>
            <w:tcW w:w="705" w:type="dxa"/>
            <w:noWrap w:val="0"/>
            <w:vAlign w:val="center"/>
          </w:tcPr>
          <w:p w14:paraId="4491DDD3">
            <w:pPr>
              <w:widowControl/>
              <w:adjustRightInd w:val="0"/>
              <w:snapToGrid w:val="0"/>
              <w:jc w:val="left"/>
              <w:rPr>
                <w:rFonts w:hint="default" w:ascii="Times New Roman" w:hAnsi="Times New Roman" w:eastAsia="楷体_GB2312" w:cs="Times New Roman"/>
                <w:spacing w:val="-4"/>
                <w:kern w:val="0"/>
                <w:sz w:val="24"/>
                <w:szCs w:val="24"/>
              </w:rPr>
            </w:pPr>
          </w:p>
        </w:tc>
      </w:tr>
      <w:tr w14:paraId="360A43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058" w:type="dxa"/>
            <w:vMerge w:val="continue"/>
            <w:noWrap w:val="0"/>
            <w:vAlign w:val="center"/>
          </w:tcPr>
          <w:p w14:paraId="2F2568E4">
            <w:pPr>
              <w:widowControl/>
              <w:adjustRightInd w:val="0"/>
              <w:snapToGrid w:val="0"/>
              <w:rPr>
                <w:rFonts w:hint="default" w:ascii="Times New Roman" w:hAnsi="Times New Roman" w:eastAsia="楷体_GB2312" w:cs="Times New Roman"/>
                <w:spacing w:val="-4"/>
                <w:kern w:val="0"/>
                <w:sz w:val="24"/>
                <w:szCs w:val="24"/>
              </w:rPr>
            </w:pPr>
          </w:p>
        </w:tc>
        <w:tc>
          <w:tcPr>
            <w:tcW w:w="2319" w:type="dxa"/>
            <w:noWrap w:val="0"/>
            <w:vAlign w:val="center"/>
          </w:tcPr>
          <w:p w14:paraId="665EACBA">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4.收集、贮存、利用、处置危险废物的设施、场所，应当按照规定设置危险废物识别标志。</w:t>
            </w:r>
          </w:p>
        </w:tc>
        <w:tc>
          <w:tcPr>
            <w:tcW w:w="720" w:type="dxa"/>
            <w:noWrap w:val="0"/>
            <w:vAlign w:val="center"/>
          </w:tcPr>
          <w:p w14:paraId="4B5892C5">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14:paraId="1D1AA0E5">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14:paraId="2E3CE75F">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依据国家和地方相关标准规范所示标签和警示标志设置危险废物识别标志。</w:t>
            </w:r>
          </w:p>
        </w:tc>
        <w:tc>
          <w:tcPr>
            <w:tcW w:w="5120" w:type="dxa"/>
            <w:gridSpan w:val="2"/>
            <w:noWrap w:val="0"/>
            <w:vAlign w:val="center"/>
          </w:tcPr>
          <w:p w14:paraId="1505F332">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1.在收集、贮存、利用、处置危险废物的设施、场所均设置了规范（形状、颜色、图案均正确）的危险废物识别标志。得1分。</w:t>
            </w:r>
          </w:p>
          <w:p w14:paraId="4303D876">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2.上述危险废物环境管理的相关设施、场所识别标志有1处错误。得0.5分。</w:t>
            </w:r>
            <w:r>
              <w:rPr>
                <w:rFonts w:hint="default" w:ascii="Times New Roman" w:hAnsi="Times New Roman" w:eastAsia="楷体_GB2312" w:cs="Times New Roman"/>
                <w:spacing w:val="-6"/>
                <w:kern w:val="0"/>
                <w:sz w:val="24"/>
                <w:szCs w:val="24"/>
              </w:rPr>
              <w:br w:type="textWrapping"/>
            </w:r>
            <w:r>
              <w:rPr>
                <w:rFonts w:hint="default" w:ascii="Times New Roman" w:hAnsi="Times New Roman" w:eastAsia="楷体_GB2312" w:cs="Times New Roman"/>
                <w:spacing w:val="-6"/>
                <w:kern w:val="0"/>
                <w:sz w:val="24"/>
                <w:szCs w:val="24"/>
              </w:rPr>
              <w:t>3.上述危险废物环境管理的相关设施、场所未设置识别标志或识别标志有2处及以上错误。得0分。</w:t>
            </w:r>
          </w:p>
        </w:tc>
        <w:tc>
          <w:tcPr>
            <w:tcW w:w="2266" w:type="dxa"/>
            <w:noWrap w:val="0"/>
            <w:vAlign w:val="center"/>
          </w:tcPr>
          <w:p w14:paraId="39C0D566">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现场核查</w:t>
            </w:r>
          </w:p>
        </w:tc>
        <w:tc>
          <w:tcPr>
            <w:tcW w:w="705" w:type="dxa"/>
            <w:noWrap w:val="0"/>
            <w:vAlign w:val="center"/>
          </w:tcPr>
          <w:p w14:paraId="72F31A0E">
            <w:pPr>
              <w:widowControl/>
              <w:adjustRightInd w:val="0"/>
              <w:snapToGrid w:val="0"/>
              <w:jc w:val="left"/>
              <w:rPr>
                <w:rFonts w:hint="default" w:ascii="Times New Roman" w:hAnsi="Times New Roman" w:eastAsia="楷体_GB2312" w:cs="Times New Roman"/>
                <w:spacing w:val="-4"/>
                <w:kern w:val="0"/>
                <w:sz w:val="24"/>
                <w:szCs w:val="24"/>
              </w:rPr>
            </w:pPr>
          </w:p>
        </w:tc>
      </w:tr>
      <w:tr w14:paraId="26E5E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058" w:type="dxa"/>
            <w:vMerge w:val="restart"/>
            <w:noWrap w:val="0"/>
            <w:vAlign w:val="center"/>
          </w:tcPr>
          <w:p w14:paraId="73B0A3B1">
            <w:pPr>
              <w:widowControl/>
              <w:adjustRightInd w:val="0"/>
              <w:snapToGrid w:val="0"/>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三、管理计划制度（《固废法》第七十八条）</w:t>
            </w:r>
          </w:p>
        </w:tc>
        <w:tc>
          <w:tcPr>
            <w:tcW w:w="2319" w:type="dxa"/>
            <w:noWrap w:val="0"/>
            <w:vAlign w:val="center"/>
          </w:tcPr>
          <w:p w14:paraId="6520FBCB">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5.危险废物管理计划包括减少危险废物产生量和降低危险废物危害性的措施，以及危险废物贮存、利用、处置措施。</w:t>
            </w:r>
          </w:p>
        </w:tc>
        <w:tc>
          <w:tcPr>
            <w:tcW w:w="720" w:type="dxa"/>
            <w:noWrap w:val="0"/>
            <w:vAlign w:val="center"/>
          </w:tcPr>
          <w:p w14:paraId="7D66B626">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14:paraId="10474559">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14:paraId="22038087">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制定了危险废物管理计划；内容齐全，危险废物的产生环节、种类、危害特性、产生量、利用处置方式描述清晰。</w:t>
            </w:r>
          </w:p>
        </w:tc>
        <w:tc>
          <w:tcPr>
            <w:tcW w:w="5120" w:type="dxa"/>
            <w:gridSpan w:val="2"/>
            <w:noWrap w:val="0"/>
            <w:vAlign w:val="center"/>
          </w:tcPr>
          <w:p w14:paraId="6267E7E5">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A.危险废物的产生环节、种类描述清晰。</w:t>
            </w:r>
          </w:p>
          <w:p w14:paraId="4F669D40">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B.危险废物产生量预测依据充分，且提出了减少产生量的措施。</w:t>
            </w:r>
          </w:p>
          <w:p w14:paraId="5D79DCCD">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C.危险废物的危害特性描述准确，且提出了降低危害性的措施。</w:t>
            </w:r>
          </w:p>
          <w:p w14:paraId="7BBE42F8">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D.危险废物贮存、利用、处置措施描述清晰。</w:t>
            </w:r>
            <w:r>
              <w:rPr>
                <w:rFonts w:hint="default" w:ascii="Times New Roman" w:hAnsi="Times New Roman" w:eastAsia="楷体_GB2312" w:cs="Times New Roman"/>
                <w:spacing w:val="-6"/>
                <w:kern w:val="0"/>
                <w:sz w:val="24"/>
                <w:szCs w:val="24"/>
              </w:rPr>
              <w:br w:type="textWrapping"/>
            </w:r>
            <w:r>
              <w:rPr>
                <w:rFonts w:hint="default" w:ascii="Times New Roman" w:hAnsi="Times New Roman" w:eastAsia="楷体_GB2312" w:cs="Times New Roman"/>
                <w:spacing w:val="-6"/>
                <w:kern w:val="0"/>
                <w:sz w:val="24"/>
                <w:szCs w:val="24"/>
              </w:rPr>
              <w:br w:type="textWrapping"/>
            </w:r>
            <w:r>
              <w:rPr>
                <w:rFonts w:hint="default" w:ascii="Times New Roman" w:hAnsi="Times New Roman" w:eastAsia="楷体_GB2312" w:cs="Times New Roman"/>
                <w:spacing w:val="-6"/>
                <w:kern w:val="0"/>
                <w:sz w:val="24"/>
                <w:szCs w:val="24"/>
              </w:rPr>
              <w:t>以上每项符合得0.5分，共2分。</w:t>
            </w:r>
          </w:p>
        </w:tc>
        <w:tc>
          <w:tcPr>
            <w:tcW w:w="2266" w:type="dxa"/>
            <w:noWrap w:val="0"/>
            <w:vAlign w:val="center"/>
          </w:tcPr>
          <w:p w14:paraId="3C73F192">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1.查阅相关资料（查看危险废物管理计划）。</w:t>
            </w:r>
          </w:p>
          <w:p w14:paraId="3D4969EF">
            <w:pPr>
              <w:widowControl/>
              <w:adjustRightInd w:val="0"/>
              <w:snapToGrid w:val="0"/>
              <w:spacing w:line="228" w:lineRule="auto"/>
              <w:rPr>
                <w:rFonts w:hint="default" w:ascii="Times New Roman" w:hAnsi="Times New Roman" w:eastAsia="楷体_GB2312" w:cs="Times New Roman"/>
                <w:spacing w:val="-6"/>
                <w:kern w:val="0"/>
                <w:sz w:val="24"/>
                <w:szCs w:val="24"/>
              </w:rPr>
            </w:pPr>
            <w:r>
              <w:rPr>
                <w:rFonts w:hint="default" w:ascii="Times New Roman" w:hAnsi="Times New Roman" w:eastAsia="楷体_GB2312" w:cs="Times New Roman"/>
                <w:spacing w:val="-6"/>
                <w:kern w:val="0"/>
                <w:sz w:val="24"/>
                <w:szCs w:val="24"/>
              </w:rPr>
              <w:t>2.比对该企业近3年管理计划，查阅危险废物产生情况是否有较大变动。如有，请企业提供说明材料。</w:t>
            </w:r>
          </w:p>
        </w:tc>
        <w:tc>
          <w:tcPr>
            <w:tcW w:w="705" w:type="dxa"/>
            <w:noWrap w:val="0"/>
            <w:vAlign w:val="center"/>
          </w:tcPr>
          <w:p w14:paraId="4ECFC9BD">
            <w:pPr>
              <w:widowControl/>
              <w:adjustRightInd w:val="0"/>
              <w:snapToGrid w:val="0"/>
              <w:jc w:val="left"/>
              <w:rPr>
                <w:rFonts w:hint="default" w:ascii="Times New Roman" w:hAnsi="Times New Roman" w:eastAsia="楷体_GB2312" w:cs="Times New Roman"/>
                <w:spacing w:val="-4"/>
                <w:kern w:val="0"/>
                <w:sz w:val="24"/>
                <w:szCs w:val="24"/>
              </w:rPr>
            </w:pPr>
          </w:p>
        </w:tc>
      </w:tr>
      <w:tr w14:paraId="541EE4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058" w:type="dxa"/>
            <w:vMerge w:val="continue"/>
            <w:noWrap w:val="0"/>
            <w:vAlign w:val="center"/>
          </w:tcPr>
          <w:p w14:paraId="784D2356">
            <w:pPr>
              <w:widowControl/>
              <w:adjustRightInd w:val="0"/>
              <w:snapToGrid w:val="0"/>
              <w:jc w:val="left"/>
              <w:rPr>
                <w:rFonts w:hint="default" w:ascii="Times New Roman" w:hAnsi="Times New Roman" w:eastAsia="楷体_GB2312" w:cs="Times New Roman"/>
                <w:spacing w:val="-4"/>
                <w:kern w:val="0"/>
                <w:sz w:val="24"/>
                <w:szCs w:val="24"/>
              </w:rPr>
            </w:pPr>
          </w:p>
        </w:tc>
        <w:tc>
          <w:tcPr>
            <w:tcW w:w="2319" w:type="dxa"/>
            <w:noWrap w:val="0"/>
            <w:vAlign w:val="center"/>
          </w:tcPr>
          <w:p w14:paraId="43091226">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6.报产生危险废物的单位所在地生态环境主管部门备案。</w:t>
            </w:r>
          </w:p>
        </w:tc>
        <w:tc>
          <w:tcPr>
            <w:tcW w:w="720" w:type="dxa"/>
            <w:noWrap w:val="0"/>
            <w:vAlign w:val="center"/>
          </w:tcPr>
          <w:p w14:paraId="73CB8EE9">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14:paraId="3AA29AA2">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14:paraId="2157FAFB">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通过国家危险废物信息管理系统报所在地生态环境主管部门备案；内容发生变更时及时变更相关备案内容。</w:t>
            </w:r>
          </w:p>
        </w:tc>
        <w:tc>
          <w:tcPr>
            <w:tcW w:w="5120" w:type="dxa"/>
            <w:gridSpan w:val="2"/>
            <w:noWrap w:val="0"/>
            <w:vAlign w:val="center"/>
          </w:tcPr>
          <w:p w14:paraId="79800537">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1.经所在地生态环境主管部门备案，并可提供相关备案证明材料；管理计划内容发生变更时及时变更相关备案内容。得1分。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2.未报所在地生态环境主管部门备案，或未能提供相关证明材料，或内容有变更未及时变更相关备案内容。得0分。</w:t>
            </w:r>
          </w:p>
        </w:tc>
        <w:tc>
          <w:tcPr>
            <w:tcW w:w="2266" w:type="dxa"/>
            <w:noWrap w:val="0"/>
            <w:vAlign w:val="center"/>
          </w:tcPr>
          <w:p w14:paraId="5D7D7682">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查阅相关资料（由企业提供已经备案的证明材料）</w:t>
            </w:r>
          </w:p>
        </w:tc>
        <w:tc>
          <w:tcPr>
            <w:tcW w:w="705" w:type="dxa"/>
            <w:noWrap w:val="0"/>
            <w:vAlign w:val="center"/>
          </w:tcPr>
          <w:p w14:paraId="6CE4E2BD">
            <w:pPr>
              <w:widowControl/>
              <w:adjustRightInd w:val="0"/>
              <w:snapToGrid w:val="0"/>
              <w:jc w:val="left"/>
              <w:rPr>
                <w:rFonts w:hint="default" w:ascii="Times New Roman" w:hAnsi="Times New Roman" w:eastAsia="楷体_GB2312" w:cs="Times New Roman"/>
                <w:spacing w:val="-4"/>
                <w:kern w:val="0"/>
                <w:sz w:val="24"/>
                <w:szCs w:val="24"/>
              </w:rPr>
            </w:pPr>
          </w:p>
        </w:tc>
      </w:tr>
      <w:tr w14:paraId="7EC7F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3" w:hRule="atLeast"/>
        </w:trPr>
        <w:tc>
          <w:tcPr>
            <w:tcW w:w="1058" w:type="dxa"/>
            <w:noWrap w:val="0"/>
            <w:vAlign w:val="center"/>
          </w:tcPr>
          <w:p w14:paraId="4ECCF368">
            <w:pPr>
              <w:widowControl/>
              <w:adjustRightInd w:val="0"/>
              <w:snapToGrid w:val="0"/>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四、排污许可制度（《固废法》第三十九条）</w:t>
            </w:r>
          </w:p>
        </w:tc>
        <w:tc>
          <w:tcPr>
            <w:tcW w:w="2319" w:type="dxa"/>
            <w:noWrap w:val="0"/>
            <w:vAlign w:val="center"/>
          </w:tcPr>
          <w:p w14:paraId="514C3791">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7.产生工业固体废物的单位应当取得排污许可证。</w:t>
            </w:r>
          </w:p>
        </w:tc>
        <w:tc>
          <w:tcPr>
            <w:tcW w:w="720" w:type="dxa"/>
            <w:noWrap w:val="0"/>
            <w:vAlign w:val="center"/>
          </w:tcPr>
          <w:p w14:paraId="7F87257C">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14:paraId="71333625">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14:paraId="549EE0AE">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依法取得排污许可证并按证排污。</w:t>
            </w:r>
          </w:p>
        </w:tc>
        <w:tc>
          <w:tcPr>
            <w:tcW w:w="5120" w:type="dxa"/>
            <w:gridSpan w:val="2"/>
            <w:noWrap w:val="0"/>
            <w:vAlign w:val="center"/>
          </w:tcPr>
          <w:p w14:paraId="4D2E019E">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依法取得排污许可证，许可证中按照技术规范对工业固体废物提出明确环境管理要求，对工业固体废物的贮存、自行利用处置和委托外单位利用处置符合许可证要求，按要求及时提交台账记录和执行报告。得2分。</w:t>
            </w:r>
          </w:p>
          <w:p w14:paraId="47C68EA4">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2.依法取得排污许可证，对工业固体废物的贮存、自行利用处置和委托外单位利用处置符合许可证要求，但未按要求及时提交台账记录和执行报告。得1分。</w:t>
            </w:r>
          </w:p>
          <w:p w14:paraId="1C6FF4DF">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3.未依法取得排污许可证，或依法取得了排污许可证，但对工业固体废物的贮存、自行利用处置和委托外单位利用处置不符合许可证要求，未及时提交台账记录和执行报告。得0分。</w:t>
            </w:r>
          </w:p>
        </w:tc>
        <w:tc>
          <w:tcPr>
            <w:tcW w:w="2266" w:type="dxa"/>
            <w:noWrap w:val="0"/>
            <w:vAlign w:val="center"/>
          </w:tcPr>
          <w:p w14:paraId="49E0C746">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w:t>
            </w:r>
          </w:p>
        </w:tc>
        <w:tc>
          <w:tcPr>
            <w:tcW w:w="705" w:type="dxa"/>
            <w:noWrap w:val="0"/>
            <w:vAlign w:val="center"/>
          </w:tcPr>
          <w:p w14:paraId="6640B386">
            <w:pPr>
              <w:widowControl/>
              <w:adjustRightInd w:val="0"/>
              <w:snapToGrid w:val="0"/>
              <w:jc w:val="left"/>
              <w:rPr>
                <w:rFonts w:hint="default" w:ascii="Times New Roman" w:hAnsi="Times New Roman" w:eastAsia="楷体_GB2312" w:cs="Times New Roman"/>
                <w:spacing w:val="-4"/>
                <w:kern w:val="0"/>
                <w:sz w:val="24"/>
                <w:szCs w:val="24"/>
              </w:rPr>
            </w:pPr>
          </w:p>
        </w:tc>
      </w:tr>
      <w:tr w14:paraId="0EC1B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1" w:hRule="atLeast"/>
        </w:trPr>
        <w:tc>
          <w:tcPr>
            <w:tcW w:w="1058" w:type="dxa"/>
            <w:noWrap w:val="0"/>
            <w:vAlign w:val="center"/>
          </w:tcPr>
          <w:p w14:paraId="36F844B1">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五、台账和申报制度（《固废法》第七十八条）</w:t>
            </w:r>
          </w:p>
        </w:tc>
        <w:tc>
          <w:tcPr>
            <w:tcW w:w="2319" w:type="dxa"/>
            <w:noWrap w:val="0"/>
            <w:vAlign w:val="center"/>
          </w:tcPr>
          <w:p w14:paraId="5409DB6F">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8.通过国家危险废物信息管理系统向所在地生态环境主管部门如实申报危险废物的种类、产生量、流向、贮存、处置等有关资料。</w:t>
            </w:r>
          </w:p>
        </w:tc>
        <w:tc>
          <w:tcPr>
            <w:tcW w:w="720" w:type="dxa"/>
            <w:noWrap w:val="0"/>
            <w:vAlign w:val="center"/>
          </w:tcPr>
          <w:p w14:paraId="6EF68096">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w:t>
            </w:r>
          </w:p>
        </w:tc>
        <w:tc>
          <w:tcPr>
            <w:tcW w:w="710" w:type="dxa"/>
            <w:noWrap w:val="0"/>
            <w:vAlign w:val="center"/>
          </w:tcPr>
          <w:p w14:paraId="65347255">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14:paraId="724D4E78">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通过国家危险废物信息管理系统如实申报；内容齐全；能提供证明材料，证明所申报数据的真实性和合理性。</w:t>
            </w:r>
          </w:p>
        </w:tc>
        <w:tc>
          <w:tcPr>
            <w:tcW w:w="5120" w:type="dxa"/>
            <w:gridSpan w:val="2"/>
            <w:noWrap w:val="0"/>
            <w:vAlign w:val="center"/>
          </w:tcPr>
          <w:p w14:paraId="60F8F704">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全面、准确地申报了危险废物的种类、产生量、流向、贮存、利用、处置情况；且可提供证明材料（如危险废物管理台账、环评文件、竣工验收文件、危险废物转移联单、危险废物利用处置合同、财务数据等）。得4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2.申报内容中存在2处及以下错误。得2分。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3.不报或虚报、漏报、瞒报危险废物的，或申报内容中关于危险废物的种类、产生量、流向、贮存、利用和处置情况存在2处以上错误。得0分。</w:t>
            </w:r>
          </w:p>
        </w:tc>
        <w:tc>
          <w:tcPr>
            <w:tcW w:w="2266" w:type="dxa"/>
            <w:noWrap w:val="0"/>
            <w:vAlign w:val="center"/>
          </w:tcPr>
          <w:p w14:paraId="5CA0F3B7">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1.至少抽选2种产生量大的危险废物，核实产生、贮存、转移、利用、处置全过程流向的合规合理性。</w:t>
            </w:r>
          </w:p>
          <w:p w14:paraId="09199443">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2.查阅相关资料（由企业提供已经申报登记的证明材料和相应的其他证明材料）。</w:t>
            </w:r>
          </w:p>
          <w:p w14:paraId="06EDF2F2">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3.比对该企业近3年申报资料，查阅危险废物产生情况是否有较大变动。如有，请企业提供说明材料。</w:t>
            </w:r>
          </w:p>
        </w:tc>
        <w:tc>
          <w:tcPr>
            <w:tcW w:w="705" w:type="dxa"/>
            <w:noWrap w:val="0"/>
            <w:vAlign w:val="center"/>
          </w:tcPr>
          <w:p w14:paraId="0682D767">
            <w:pPr>
              <w:widowControl/>
              <w:adjustRightInd w:val="0"/>
              <w:snapToGrid w:val="0"/>
              <w:rPr>
                <w:rFonts w:hint="default" w:ascii="Times New Roman" w:hAnsi="Times New Roman" w:eastAsia="楷体_GB2312" w:cs="Times New Roman"/>
                <w:spacing w:val="-4"/>
                <w:kern w:val="0"/>
                <w:sz w:val="24"/>
                <w:szCs w:val="24"/>
              </w:rPr>
            </w:pPr>
          </w:p>
        </w:tc>
      </w:tr>
      <w:tr w14:paraId="54B47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1058" w:type="dxa"/>
            <w:vMerge w:val="restart"/>
            <w:noWrap w:val="0"/>
            <w:vAlign w:val="center"/>
          </w:tcPr>
          <w:p w14:paraId="61BD8BD7">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六、转移制度（《固废法》第三十七条、第八十二条）</w:t>
            </w:r>
          </w:p>
        </w:tc>
        <w:tc>
          <w:tcPr>
            <w:tcW w:w="2319" w:type="dxa"/>
            <w:noWrap w:val="0"/>
            <w:vAlign w:val="center"/>
          </w:tcPr>
          <w:p w14:paraId="5ED3FE9B">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9.接收、转移危险废物的，按照危险废物转移有关规定，如实填写、运行转移联单。</w:t>
            </w:r>
          </w:p>
        </w:tc>
        <w:tc>
          <w:tcPr>
            <w:tcW w:w="720" w:type="dxa"/>
            <w:noWrap w:val="0"/>
            <w:vAlign w:val="center"/>
          </w:tcPr>
          <w:p w14:paraId="74C4B209">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w:t>
            </w:r>
          </w:p>
        </w:tc>
        <w:tc>
          <w:tcPr>
            <w:tcW w:w="710" w:type="dxa"/>
            <w:noWrap w:val="0"/>
            <w:vAlign w:val="center"/>
          </w:tcPr>
          <w:p w14:paraId="70C3E819">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14:paraId="01D695E6">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按照实际接收、转移的危险废物，如实填写、运行危险废物转移联单。</w:t>
            </w:r>
          </w:p>
        </w:tc>
        <w:tc>
          <w:tcPr>
            <w:tcW w:w="5120" w:type="dxa"/>
            <w:gridSpan w:val="2"/>
            <w:noWrap w:val="0"/>
            <w:vAlign w:val="center"/>
          </w:tcPr>
          <w:p w14:paraId="6A7C285B">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1.接收、转移危险废物的，按照危险废物转移有关规定通过国家危险废物信息管理系统如实填写、运行电子联单。得4分。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2.联单填写不规范，存在2处及以下错填、漏填等情况。得2分。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3.未运行联单擅自转移危险废物，或联单填写存在错填、漏填在2处以上，或错填危险废物代码以符合其经营范围。得0分。</w:t>
            </w:r>
          </w:p>
        </w:tc>
        <w:tc>
          <w:tcPr>
            <w:tcW w:w="2266" w:type="dxa"/>
            <w:noWrap w:val="0"/>
            <w:vAlign w:val="center"/>
          </w:tcPr>
          <w:p w14:paraId="226685D6">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查阅相关资料、现场核查（现场查看转移联单，并与经营情况记录等进行核对）</w:t>
            </w:r>
          </w:p>
        </w:tc>
        <w:tc>
          <w:tcPr>
            <w:tcW w:w="705" w:type="dxa"/>
            <w:noWrap w:val="0"/>
            <w:vAlign w:val="center"/>
          </w:tcPr>
          <w:p w14:paraId="385248F4">
            <w:pPr>
              <w:widowControl/>
              <w:adjustRightInd w:val="0"/>
              <w:snapToGrid w:val="0"/>
              <w:rPr>
                <w:rFonts w:hint="default" w:ascii="Times New Roman" w:hAnsi="Times New Roman" w:eastAsia="楷体_GB2312" w:cs="Times New Roman"/>
                <w:spacing w:val="-4"/>
                <w:kern w:val="0"/>
                <w:sz w:val="24"/>
                <w:szCs w:val="24"/>
              </w:rPr>
            </w:pPr>
          </w:p>
        </w:tc>
      </w:tr>
      <w:tr w14:paraId="21923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1058" w:type="dxa"/>
            <w:vMerge w:val="continue"/>
            <w:noWrap w:val="0"/>
            <w:vAlign w:val="center"/>
          </w:tcPr>
          <w:p w14:paraId="4D888148">
            <w:pPr>
              <w:widowControl/>
              <w:adjustRightInd w:val="0"/>
              <w:snapToGrid w:val="0"/>
              <w:rPr>
                <w:rFonts w:hint="default" w:ascii="Times New Roman" w:hAnsi="Times New Roman" w:eastAsia="楷体_GB2312" w:cs="Times New Roman"/>
                <w:spacing w:val="-4"/>
                <w:kern w:val="0"/>
                <w:sz w:val="24"/>
                <w:szCs w:val="24"/>
              </w:rPr>
            </w:pPr>
          </w:p>
        </w:tc>
        <w:tc>
          <w:tcPr>
            <w:tcW w:w="2319" w:type="dxa"/>
            <w:noWrap w:val="0"/>
            <w:vAlign w:val="center"/>
          </w:tcPr>
          <w:p w14:paraId="6EFCA05D">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10.利用处置过程新产生危险废物的单位委托他人运输、利用、处置的，应当对受托方的主体资格和技术能力进行核实，依法签订书面合同，在合同中约定污染防治要求。</w:t>
            </w:r>
          </w:p>
        </w:tc>
        <w:tc>
          <w:tcPr>
            <w:tcW w:w="720" w:type="dxa"/>
            <w:noWrap w:val="0"/>
            <w:vAlign w:val="center"/>
          </w:tcPr>
          <w:p w14:paraId="6D797E81">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w:t>
            </w:r>
          </w:p>
        </w:tc>
        <w:tc>
          <w:tcPr>
            <w:tcW w:w="710" w:type="dxa"/>
            <w:noWrap w:val="0"/>
            <w:vAlign w:val="center"/>
          </w:tcPr>
          <w:p w14:paraId="3EF65A09">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14:paraId="0722542F">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利用处置过程新产生危险废物需转移给外单位利用或处置的单位，核定受托方的主体资格和技术能力。</w:t>
            </w:r>
          </w:p>
        </w:tc>
        <w:tc>
          <w:tcPr>
            <w:tcW w:w="5120" w:type="dxa"/>
            <w:gridSpan w:val="2"/>
            <w:noWrap w:val="0"/>
            <w:vAlign w:val="center"/>
          </w:tcPr>
          <w:p w14:paraId="58A94CC4">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A.对受托方的主体资格和技术能力进行核实，且可提供证明材料。</w:t>
            </w:r>
          </w:p>
          <w:p w14:paraId="2D0C2A31">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B.及时核对受托方收集、利用或者处置相关危险废物情况，且可提供证明材料。</w:t>
            </w:r>
          </w:p>
          <w:p w14:paraId="6673FEBC">
            <w:pPr>
              <w:widowControl/>
              <w:adjustRightInd w:val="0"/>
              <w:snapToGrid w:val="0"/>
              <w:rPr>
                <w:rFonts w:hint="default" w:ascii="Times New Roman" w:hAnsi="Times New Roman" w:eastAsia="楷体_GB2312" w:cs="Times New Roman"/>
                <w:spacing w:val="-4"/>
                <w:kern w:val="0"/>
                <w:sz w:val="24"/>
                <w:szCs w:val="24"/>
              </w:rPr>
            </w:pPr>
          </w:p>
          <w:p w14:paraId="407BDD1F">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以上每项符合得2.5分，共5分。</w:t>
            </w:r>
          </w:p>
        </w:tc>
        <w:tc>
          <w:tcPr>
            <w:tcW w:w="2266" w:type="dxa"/>
            <w:noWrap w:val="0"/>
            <w:vAlign w:val="center"/>
          </w:tcPr>
          <w:p w14:paraId="160C5800">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1.查阅相关资料（如受托方危险废物经营许可证及其附件的复印件等）。</w:t>
            </w:r>
          </w:p>
          <w:p w14:paraId="05C8E14F">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2.实地或电话同受托方核实，包括转移联单同产废单位的台账核实；转移联单同经营单位的经营管理台账核实。</w:t>
            </w:r>
          </w:p>
        </w:tc>
        <w:tc>
          <w:tcPr>
            <w:tcW w:w="705" w:type="dxa"/>
            <w:noWrap w:val="0"/>
            <w:vAlign w:val="center"/>
          </w:tcPr>
          <w:p w14:paraId="4A8893C0">
            <w:pPr>
              <w:widowControl/>
              <w:adjustRightInd w:val="0"/>
              <w:snapToGrid w:val="0"/>
              <w:rPr>
                <w:rFonts w:hint="default" w:ascii="Times New Roman" w:hAnsi="Times New Roman" w:eastAsia="楷体_GB2312" w:cs="Times New Roman"/>
                <w:spacing w:val="-4"/>
                <w:kern w:val="0"/>
                <w:sz w:val="24"/>
                <w:szCs w:val="24"/>
              </w:rPr>
            </w:pPr>
          </w:p>
        </w:tc>
      </w:tr>
      <w:tr w14:paraId="71196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1058" w:type="dxa"/>
            <w:vMerge w:val="continue"/>
            <w:noWrap w:val="0"/>
            <w:vAlign w:val="center"/>
          </w:tcPr>
          <w:p w14:paraId="7F49974A">
            <w:pPr>
              <w:widowControl/>
              <w:adjustRightInd w:val="0"/>
              <w:snapToGrid w:val="0"/>
              <w:rPr>
                <w:rFonts w:hint="default" w:ascii="Times New Roman" w:hAnsi="Times New Roman" w:eastAsia="楷体_GB2312" w:cs="Times New Roman"/>
                <w:spacing w:val="-4"/>
                <w:kern w:val="0"/>
                <w:sz w:val="24"/>
                <w:szCs w:val="24"/>
              </w:rPr>
            </w:pPr>
          </w:p>
        </w:tc>
        <w:tc>
          <w:tcPr>
            <w:tcW w:w="2319" w:type="dxa"/>
            <w:noWrap w:val="0"/>
            <w:vAlign w:val="center"/>
          </w:tcPr>
          <w:p w14:paraId="3957C219">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11.跨省、自治区、直辖市转移危险废物的，应当向危险废物移出地省、自治区、直辖市人民政府生态环境主管部门申请。</w:t>
            </w:r>
          </w:p>
        </w:tc>
        <w:tc>
          <w:tcPr>
            <w:tcW w:w="720" w:type="dxa"/>
            <w:noWrap w:val="0"/>
            <w:vAlign w:val="center"/>
          </w:tcPr>
          <w:p w14:paraId="2324246D">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14:paraId="3C506429">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14:paraId="32DEA708">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向移出地省级生态环境主管部门申请并获得批准。</w:t>
            </w:r>
          </w:p>
        </w:tc>
        <w:tc>
          <w:tcPr>
            <w:tcW w:w="5120" w:type="dxa"/>
            <w:gridSpan w:val="2"/>
            <w:noWrap w:val="0"/>
            <w:vAlign w:val="center"/>
          </w:tcPr>
          <w:p w14:paraId="3A9D438F">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1.跨省、自治区、直辖市转移危险废物的，在转移危险废物前向移出地省级生态环境主管部门申请并得到批准。得2分。</w:t>
            </w:r>
          </w:p>
          <w:p w14:paraId="5DCE2323">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2.未获得省级生态环境主管部门批准，擅自转移危险废物。得0分。</w:t>
            </w:r>
          </w:p>
        </w:tc>
        <w:tc>
          <w:tcPr>
            <w:tcW w:w="2266" w:type="dxa"/>
            <w:noWrap w:val="0"/>
            <w:vAlign w:val="center"/>
          </w:tcPr>
          <w:p w14:paraId="022D27D5">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查阅相关资料（查看批准证明）</w:t>
            </w:r>
          </w:p>
        </w:tc>
        <w:tc>
          <w:tcPr>
            <w:tcW w:w="705" w:type="dxa"/>
            <w:noWrap w:val="0"/>
            <w:vAlign w:val="center"/>
          </w:tcPr>
          <w:p w14:paraId="3C208E05">
            <w:pPr>
              <w:widowControl/>
              <w:adjustRightInd w:val="0"/>
              <w:snapToGrid w:val="0"/>
              <w:rPr>
                <w:rFonts w:hint="default" w:ascii="Times New Roman" w:hAnsi="Times New Roman" w:eastAsia="楷体_GB2312" w:cs="Times New Roman"/>
                <w:spacing w:val="-4"/>
                <w:kern w:val="0"/>
                <w:sz w:val="24"/>
                <w:szCs w:val="24"/>
              </w:rPr>
            </w:pPr>
          </w:p>
        </w:tc>
      </w:tr>
      <w:tr w14:paraId="5C3E4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1058" w:type="dxa"/>
            <w:vMerge w:val="restart"/>
            <w:noWrap w:val="0"/>
            <w:vAlign w:val="center"/>
          </w:tcPr>
          <w:p w14:paraId="5FEFB054">
            <w:pPr>
              <w:widowControl/>
              <w:adjustRightInd w:val="0"/>
              <w:snapToGrid w:val="0"/>
              <w:spacing w:line="259"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七、环境应急预案备案制度（《固废法》第八十五条）</w:t>
            </w:r>
          </w:p>
        </w:tc>
        <w:tc>
          <w:tcPr>
            <w:tcW w:w="2319" w:type="dxa"/>
            <w:noWrap w:val="0"/>
            <w:vAlign w:val="center"/>
          </w:tcPr>
          <w:p w14:paraId="3E559B3F">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12.按照危险废物经营单位编制环境应急预案相关标准规范要求，依法制定了意外事故的环境污染防范措施和应急预案。</w:t>
            </w:r>
          </w:p>
        </w:tc>
        <w:tc>
          <w:tcPr>
            <w:tcW w:w="720" w:type="dxa"/>
            <w:noWrap w:val="0"/>
            <w:vAlign w:val="center"/>
          </w:tcPr>
          <w:p w14:paraId="30A6F2B0">
            <w:pPr>
              <w:widowControl/>
              <w:adjustRightInd w:val="0"/>
              <w:snapToGrid w:val="0"/>
              <w:spacing w:line="264"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14:paraId="25AA9B53">
            <w:pPr>
              <w:widowControl/>
              <w:adjustRightInd w:val="0"/>
              <w:snapToGrid w:val="0"/>
              <w:spacing w:line="264" w:lineRule="auto"/>
              <w:rPr>
                <w:rFonts w:hint="default" w:ascii="Times New Roman" w:hAnsi="Times New Roman" w:eastAsia="楷体_GB2312" w:cs="Times New Roman"/>
                <w:spacing w:val="-4"/>
                <w:kern w:val="0"/>
                <w:sz w:val="24"/>
                <w:szCs w:val="24"/>
              </w:rPr>
            </w:pPr>
          </w:p>
        </w:tc>
        <w:tc>
          <w:tcPr>
            <w:tcW w:w="1850" w:type="dxa"/>
            <w:noWrap w:val="0"/>
            <w:vAlign w:val="center"/>
          </w:tcPr>
          <w:p w14:paraId="401928DC">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有意外事故应急预案（综合性应急预案有危险废物相关篇章或有危险废物专门应急预案）。</w:t>
            </w:r>
          </w:p>
        </w:tc>
        <w:tc>
          <w:tcPr>
            <w:tcW w:w="5120" w:type="dxa"/>
            <w:gridSpan w:val="2"/>
            <w:noWrap w:val="0"/>
            <w:vAlign w:val="center"/>
          </w:tcPr>
          <w:p w14:paraId="19393428">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A.应急预案有明确的管理机构及负责人。</w:t>
            </w:r>
          </w:p>
          <w:p w14:paraId="7372D683">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B.有意外事故的情形及相应的处理措施。</w:t>
            </w:r>
          </w:p>
          <w:p w14:paraId="4DBFD915">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C.有应急预案中要求配置的应急装备及物资。</w:t>
            </w:r>
          </w:p>
          <w:p w14:paraId="2419CA65">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D.内部及外部环境发生改变时，及时对应急预案进行了修订。</w:t>
            </w:r>
          </w:p>
          <w:p w14:paraId="41F8E38A">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1.制定了环境应急预案且达到以上全部要求。得1分。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2.未制定环境应急预案，或制定的环境应急预案不能达到上述2项以上要求。得0分。</w:t>
            </w:r>
          </w:p>
        </w:tc>
        <w:tc>
          <w:tcPr>
            <w:tcW w:w="2266" w:type="dxa"/>
            <w:noWrap w:val="0"/>
            <w:vAlign w:val="center"/>
          </w:tcPr>
          <w:p w14:paraId="3A4F89C3">
            <w:pPr>
              <w:widowControl/>
              <w:adjustRightInd w:val="0"/>
              <w:snapToGrid w:val="0"/>
              <w:spacing w:line="259"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查阅相关资料（查看环境应急预案）、现场核查</w:t>
            </w:r>
          </w:p>
        </w:tc>
        <w:tc>
          <w:tcPr>
            <w:tcW w:w="705" w:type="dxa"/>
            <w:noWrap w:val="0"/>
            <w:vAlign w:val="center"/>
          </w:tcPr>
          <w:p w14:paraId="4635323D">
            <w:pPr>
              <w:widowControl/>
              <w:adjustRightInd w:val="0"/>
              <w:snapToGrid w:val="0"/>
              <w:jc w:val="left"/>
              <w:rPr>
                <w:rFonts w:hint="default" w:ascii="Times New Roman" w:hAnsi="Times New Roman" w:eastAsia="楷体_GB2312" w:cs="Times New Roman"/>
                <w:spacing w:val="-4"/>
                <w:kern w:val="0"/>
                <w:sz w:val="24"/>
                <w:szCs w:val="24"/>
              </w:rPr>
            </w:pPr>
          </w:p>
        </w:tc>
      </w:tr>
      <w:tr w14:paraId="663D2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1058" w:type="dxa"/>
            <w:vMerge w:val="continue"/>
            <w:noWrap w:val="0"/>
            <w:vAlign w:val="center"/>
          </w:tcPr>
          <w:p w14:paraId="210E8670">
            <w:pPr>
              <w:widowControl/>
              <w:adjustRightInd w:val="0"/>
              <w:snapToGrid w:val="0"/>
              <w:spacing w:line="259" w:lineRule="auto"/>
              <w:jc w:val="left"/>
              <w:rPr>
                <w:rFonts w:hint="default" w:ascii="Times New Roman" w:hAnsi="Times New Roman" w:eastAsia="楷体_GB2312" w:cs="Times New Roman"/>
                <w:spacing w:val="-4"/>
                <w:kern w:val="0"/>
                <w:sz w:val="24"/>
                <w:szCs w:val="24"/>
              </w:rPr>
            </w:pPr>
          </w:p>
        </w:tc>
        <w:tc>
          <w:tcPr>
            <w:tcW w:w="2319" w:type="dxa"/>
            <w:noWrap w:val="0"/>
            <w:vAlign w:val="center"/>
          </w:tcPr>
          <w:p w14:paraId="18ADE4DF">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13.向所在地生态环境主管部门和其他负有固体废物污染环境防治监督管理职责的部门备案。</w:t>
            </w:r>
          </w:p>
        </w:tc>
        <w:tc>
          <w:tcPr>
            <w:tcW w:w="720" w:type="dxa"/>
            <w:noWrap w:val="0"/>
            <w:vAlign w:val="center"/>
          </w:tcPr>
          <w:p w14:paraId="29CAEEF8">
            <w:pPr>
              <w:widowControl/>
              <w:adjustRightInd w:val="0"/>
              <w:snapToGrid w:val="0"/>
              <w:spacing w:line="264"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14:paraId="43D74F73">
            <w:pPr>
              <w:widowControl/>
              <w:adjustRightInd w:val="0"/>
              <w:snapToGrid w:val="0"/>
              <w:spacing w:line="264" w:lineRule="auto"/>
              <w:rPr>
                <w:rFonts w:hint="default" w:ascii="Times New Roman" w:hAnsi="Times New Roman" w:eastAsia="楷体_GB2312" w:cs="Times New Roman"/>
                <w:spacing w:val="-4"/>
                <w:kern w:val="0"/>
                <w:sz w:val="24"/>
                <w:szCs w:val="24"/>
              </w:rPr>
            </w:pPr>
          </w:p>
        </w:tc>
        <w:tc>
          <w:tcPr>
            <w:tcW w:w="1850" w:type="dxa"/>
            <w:noWrap w:val="0"/>
            <w:vAlign w:val="center"/>
          </w:tcPr>
          <w:p w14:paraId="0D5A0756">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在所在地生态环境主管部门和其他负有固体废物污染环境防治监督管理职责的部门备案。</w:t>
            </w:r>
          </w:p>
        </w:tc>
        <w:tc>
          <w:tcPr>
            <w:tcW w:w="5120" w:type="dxa"/>
            <w:gridSpan w:val="2"/>
            <w:noWrap w:val="0"/>
            <w:vAlign w:val="center"/>
          </w:tcPr>
          <w:p w14:paraId="344D01F5">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1.环境应急预案报所在地生态环境主管部门和其他负有固体废物污染环境防治监督管理职责的部门备案，有相关的证明材料。得1分。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2.未备案或无相关的证明材料。得0分。</w:t>
            </w:r>
          </w:p>
        </w:tc>
        <w:tc>
          <w:tcPr>
            <w:tcW w:w="2266" w:type="dxa"/>
            <w:noWrap w:val="0"/>
            <w:vAlign w:val="center"/>
          </w:tcPr>
          <w:p w14:paraId="6997FA5B">
            <w:pPr>
              <w:widowControl/>
              <w:adjustRightInd w:val="0"/>
              <w:snapToGrid w:val="0"/>
              <w:spacing w:line="259"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查阅相关资料（查看备案证明）</w:t>
            </w:r>
          </w:p>
        </w:tc>
        <w:tc>
          <w:tcPr>
            <w:tcW w:w="705" w:type="dxa"/>
            <w:noWrap w:val="0"/>
            <w:vAlign w:val="center"/>
          </w:tcPr>
          <w:p w14:paraId="4144C89F">
            <w:pPr>
              <w:widowControl/>
              <w:adjustRightInd w:val="0"/>
              <w:snapToGrid w:val="0"/>
              <w:jc w:val="left"/>
              <w:rPr>
                <w:rFonts w:hint="default" w:ascii="Times New Roman" w:hAnsi="Times New Roman" w:eastAsia="楷体_GB2312" w:cs="Times New Roman"/>
                <w:spacing w:val="-4"/>
                <w:kern w:val="0"/>
                <w:sz w:val="24"/>
                <w:szCs w:val="24"/>
              </w:rPr>
            </w:pPr>
          </w:p>
        </w:tc>
      </w:tr>
      <w:tr w14:paraId="433290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1058" w:type="dxa"/>
            <w:vMerge w:val="continue"/>
            <w:noWrap w:val="0"/>
            <w:vAlign w:val="center"/>
          </w:tcPr>
          <w:p w14:paraId="7F3942C8">
            <w:pPr>
              <w:widowControl/>
              <w:adjustRightInd w:val="0"/>
              <w:snapToGrid w:val="0"/>
              <w:spacing w:line="259" w:lineRule="auto"/>
              <w:jc w:val="left"/>
              <w:rPr>
                <w:rFonts w:hint="default" w:ascii="Times New Roman" w:hAnsi="Times New Roman" w:eastAsia="楷体_GB2312" w:cs="Times New Roman"/>
                <w:spacing w:val="-4"/>
                <w:kern w:val="0"/>
                <w:sz w:val="24"/>
                <w:szCs w:val="24"/>
              </w:rPr>
            </w:pPr>
          </w:p>
        </w:tc>
        <w:tc>
          <w:tcPr>
            <w:tcW w:w="2319" w:type="dxa"/>
            <w:noWrap w:val="0"/>
            <w:vAlign w:val="center"/>
          </w:tcPr>
          <w:p w14:paraId="0FB43BDD">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14.按照预案要求每年组织应急演练。</w:t>
            </w:r>
          </w:p>
        </w:tc>
        <w:tc>
          <w:tcPr>
            <w:tcW w:w="720" w:type="dxa"/>
            <w:noWrap w:val="0"/>
            <w:vAlign w:val="center"/>
          </w:tcPr>
          <w:p w14:paraId="337252CA">
            <w:pPr>
              <w:widowControl/>
              <w:adjustRightInd w:val="0"/>
              <w:snapToGrid w:val="0"/>
              <w:spacing w:line="264"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14:paraId="49000E6B">
            <w:pPr>
              <w:widowControl/>
              <w:adjustRightInd w:val="0"/>
              <w:snapToGrid w:val="0"/>
              <w:spacing w:line="264" w:lineRule="auto"/>
              <w:rPr>
                <w:rFonts w:hint="default" w:ascii="Times New Roman" w:hAnsi="Times New Roman" w:eastAsia="楷体_GB2312" w:cs="Times New Roman"/>
                <w:spacing w:val="-4"/>
                <w:kern w:val="0"/>
                <w:sz w:val="24"/>
                <w:szCs w:val="24"/>
              </w:rPr>
            </w:pPr>
          </w:p>
        </w:tc>
        <w:tc>
          <w:tcPr>
            <w:tcW w:w="1850" w:type="dxa"/>
            <w:noWrap w:val="0"/>
            <w:vAlign w:val="center"/>
          </w:tcPr>
          <w:p w14:paraId="24A98D4A">
            <w:pPr>
              <w:widowControl/>
              <w:adjustRightInd w:val="0"/>
              <w:snapToGrid w:val="0"/>
              <w:spacing w:line="264" w:lineRule="auto"/>
              <w:rPr>
                <w:rFonts w:hint="default" w:ascii="Times New Roman" w:hAnsi="Times New Roman" w:eastAsia="楷体_GB2312" w:cs="Times New Roman"/>
                <w:spacing w:val="-9"/>
                <w:kern w:val="0"/>
                <w:sz w:val="24"/>
                <w:szCs w:val="24"/>
              </w:rPr>
            </w:pPr>
            <w:r>
              <w:rPr>
                <w:rFonts w:hint="default" w:ascii="Times New Roman" w:hAnsi="Times New Roman" w:eastAsia="楷体_GB2312" w:cs="Times New Roman"/>
                <w:spacing w:val="-9"/>
                <w:kern w:val="0"/>
                <w:sz w:val="24"/>
                <w:szCs w:val="24"/>
              </w:rPr>
              <w:t>按照预案要求每年组织环境应急演练。</w:t>
            </w:r>
          </w:p>
        </w:tc>
        <w:tc>
          <w:tcPr>
            <w:tcW w:w="5120" w:type="dxa"/>
            <w:gridSpan w:val="2"/>
            <w:noWrap w:val="0"/>
            <w:vAlign w:val="center"/>
          </w:tcPr>
          <w:p w14:paraId="714E0209">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A.有详细的演练计划。</w:t>
            </w:r>
          </w:p>
          <w:p w14:paraId="05C73642">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B.有演练的图片、文字或视频记录。</w:t>
            </w:r>
          </w:p>
          <w:p w14:paraId="71BBD3EA">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C.有演练后的总结材料。</w:t>
            </w:r>
          </w:p>
          <w:p w14:paraId="0E7EBAD2">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D.参加演练人员熟悉意外事故的环境污染防范措施。</w:t>
            </w:r>
          </w:p>
          <w:p w14:paraId="40452932">
            <w:pPr>
              <w:widowControl/>
              <w:adjustRightInd w:val="0"/>
              <w:snapToGrid w:val="0"/>
              <w:spacing w:line="264" w:lineRule="auto"/>
              <w:rPr>
                <w:rFonts w:hint="default" w:ascii="Times New Roman" w:hAnsi="Times New Roman" w:eastAsia="楷体_GB2312" w:cs="Times New Roman"/>
                <w:spacing w:val="-4"/>
                <w:kern w:val="0"/>
                <w:sz w:val="24"/>
                <w:szCs w:val="24"/>
              </w:rPr>
            </w:pPr>
          </w:p>
          <w:p w14:paraId="7226B132">
            <w:pPr>
              <w:widowControl/>
              <w:adjustRightInd w:val="0"/>
              <w:snapToGrid w:val="0"/>
              <w:spacing w:line="264"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以上每项符合得0.5分，共2分。</w:t>
            </w:r>
          </w:p>
        </w:tc>
        <w:tc>
          <w:tcPr>
            <w:tcW w:w="2266" w:type="dxa"/>
            <w:noWrap w:val="0"/>
            <w:vAlign w:val="center"/>
          </w:tcPr>
          <w:p w14:paraId="2ED2A00B">
            <w:pPr>
              <w:widowControl/>
              <w:adjustRightInd w:val="0"/>
              <w:snapToGrid w:val="0"/>
              <w:spacing w:line="259"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查阅相关资料（查看环境应急预案演练记录）、现场询问</w:t>
            </w:r>
          </w:p>
        </w:tc>
        <w:tc>
          <w:tcPr>
            <w:tcW w:w="705" w:type="dxa"/>
            <w:noWrap w:val="0"/>
            <w:vAlign w:val="center"/>
          </w:tcPr>
          <w:p w14:paraId="6562E9FF">
            <w:pPr>
              <w:widowControl/>
              <w:adjustRightInd w:val="0"/>
              <w:snapToGrid w:val="0"/>
              <w:jc w:val="left"/>
              <w:rPr>
                <w:rFonts w:hint="default" w:ascii="Times New Roman" w:hAnsi="Times New Roman" w:eastAsia="楷体_GB2312" w:cs="Times New Roman"/>
                <w:spacing w:val="-4"/>
                <w:kern w:val="0"/>
                <w:sz w:val="24"/>
                <w:szCs w:val="24"/>
              </w:rPr>
            </w:pPr>
          </w:p>
        </w:tc>
      </w:tr>
      <w:tr w14:paraId="4221A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1058" w:type="dxa"/>
            <w:vMerge w:val="restart"/>
            <w:noWrap w:val="0"/>
            <w:vAlign w:val="center"/>
          </w:tcPr>
          <w:p w14:paraId="2C6B5902">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八、贮存设施环境管理（《固废法》第十七条、第十八条、第七十九条、第八十一条）</w:t>
            </w:r>
          </w:p>
        </w:tc>
        <w:tc>
          <w:tcPr>
            <w:tcW w:w="2319" w:type="dxa"/>
            <w:noWrap w:val="0"/>
            <w:vAlign w:val="center"/>
          </w:tcPr>
          <w:p w14:paraId="63683577">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15.依法进行环境影响评价，完成“三同时”验收。</w:t>
            </w:r>
          </w:p>
        </w:tc>
        <w:tc>
          <w:tcPr>
            <w:tcW w:w="720" w:type="dxa"/>
            <w:noWrap w:val="0"/>
            <w:vAlign w:val="center"/>
          </w:tcPr>
          <w:p w14:paraId="4848DF48">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14:paraId="1A9DCC83">
            <w:pPr>
              <w:widowControl/>
              <w:adjustRightInd w:val="0"/>
              <w:snapToGrid w:val="0"/>
              <w:spacing w:line="218" w:lineRule="auto"/>
              <w:rPr>
                <w:rFonts w:hint="default" w:ascii="Times New Roman" w:hAnsi="Times New Roman" w:eastAsia="楷体_GB2312" w:cs="Times New Roman"/>
                <w:spacing w:val="-4"/>
                <w:kern w:val="0"/>
                <w:sz w:val="24"/>
                <w:szCs w:val="24"/>
              </w:rPr>
            </w:pPr>
          </w:p>
        </w:tc>
        <w:tc>
          <w:tcPr>
            <w:tcW w:w="1850" w:type="dxa"/>
            <w:noWrap w:val="0"/>
            <w:vAlign w:val="center"/>
          </w:tcPr>
          <w:p w14:paraId="6CD3FACB">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有环评材料，并完成“三同时”验收。</w:t>
            </w:r>
          </w:p>
        </w:tc>
        <w:tc>
          <w:tcPr>
            <w:tcW w:w="5120" w:type="dxa"/>
            <w:gridSpan w:val="2"/>
            <w:noWrap w:val="0"/>
            <w:vAlign w:val="center"/>
          </w:tcPr>
          <w:p w14:paraId="4FDC3501">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1.环境影响评价文件对全部危险废物贮存设施进行了评价，且完成了“三同时”验收或在验收期限内。得2分。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2.环境影响评价文件对全部危险废物贮存设施进行了评价，但未完成“三同时”验收。得1分。</w:t>
            </w:r>
          </w:p>
          <w:p w14:paraId="196F015B">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3.环境影响评价文件仅对部分危险废物贮存设施进行了评价，且完成了“三同时”验收或在验收期限内。得1分。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4.环境影响评价文件未对危险废物贮存设施进行评价或危险废物实际贮存方式与环境影响评价文件不一致。得0分。</w:t>
            </w:r>
          </w:p>
        </w:tc>
        <w:tc>
          <w:tcPr>
            <w:tcW w:w="2266" w:type="dxa"/>
            <w:noWrap w:val="0"/>
            <w:vAlign w:val="center"/>
          </w:tcPr>
          <w:p w14:paraId="027BB776">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查阅相关资料（查看环评材料及批复、验收报告等）</w:t>
            </w:r>
          </w:p>
        </w:tc>
        <w:tc>
          <w:tcPr>
            <w:tcW w:w="705" w:type="dxa"/>
            <w:noWrap w:val="0"/>
            <w:vAlign w:val="top"/>
          </w:tcPr>
          <w:p w14:paraId="0E03E862">
            <w:pPr>
              <w:widowControl/>
              <w:adjustRightInd w:val="0"/>
              <w:snapToGrid w:val="0"/>
              <w:jc w:val="left"/>
              <w:rPr>
                <w:rFonts w:hint="default" w:ascii="Times New Roman" w:hAnsi="Times New Roman" w:eastAsia="楷体_GB2312" w:cs="Times New Roman"/>
                <w:spacing w:val="-4"/>
                <w:kern w:val="0"/>
                <w:sz w:val="24"/>
                <w:szCs w:val="24"/>
              </w:rPr>
            </w:pPr>
          </w:p>
        </w:tc>
      </w:tr>
      <w:tr w14:paraId="63207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058" w:type="dxa"/>
            <w:vMerge w:val="continue"/>
            <w:noWrap w:val="0"/>
            <w:vAlign w:val="center"/>
          </w:tcPr>
          <w:p w14:paraId="0D01CCB1">
            <w:pPr>
              <w:widowControl/>
              <w:adjustRightInd w:val="0"/>
              <w:snapToGrid w:val="0"/>
              <w:spacing w:line="228" w:lineRule="auto"/>
              <w:rPr>
                <w:rFonts w:hint="default" w:ascii="Times New Roman" w:hAnsi="Times New Roman" w:eastAsia="楷体_GB2312" w:cs="Times New Roman"/>
                <w:spacing w:val="-4"/>
                <w:kern w:val="0"/>
                <w:sz w:val="24"/>
                <w:szCs w:val="24"/>
              </w:rPr>
            </w:pPr>
          </w:p>
        </w:tc>
        <w:tc>
          <w:tcPr>
            <w:tcW w:w="2319" w:type="dxa"/>
            <w:noWrap w:val="0"/>
            <w:vAlign w:val="center"/>
          </w:tcPr>
          <w:p w14:paraId="021F0E35">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16.按照国家有关规定和环境保护标准要求贮存危险废物。</w:t>
            </w:r>
          </w:p>
        </w:tc>
        <w:tc>
          <w:tcPr>
            <w:tcW w:w="720" w:type="dxa"/>
            <w:noWrap w:val="0"/>
            <w:vAlign w:val="center"/>
          </w:tcPr>
          <w:p w14:paraId="1999588A">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w:t>
            </w:r>
          </w:p>
        </w:tc>
        <w:tc>
          <w:tcPr>
            <w:tcW w:w="710" w:type="dxa"/>
            <w:noWrap w:val="0"/>
            <w:vAlign w:val="top"/>
          </w:tcPr>
          <w:p w14:paraId="509B829B">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14:paraId="5E16EA8A">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符合《危险废物贮存污染控制标准》的有关要求。</w:t>
            </w:r>
          </w:p>
        </w:tc>
        <w:tc>
          <w:tcPr>
            <w:tcW w:w="5120" w:type="dxa"/>
            <w:gridSpan w:val="2"/>
            <w:noWrap w:val="0"/>
            <w:vAlign w:val="center"/>
          </w:tcPr>
          <w:p w14:paraId="42850D26">
            <w:pPr>
              <w:widowControl/>
              <w:adjustRightInd w:val="0"/>
              <w:snapToGrid w:val="0"/>
              <w:spacing w:line="218" w:lineRule="auto"/>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A.符合《危险废物贮存污染控制标准》一般要求，按照危害特性分类贮存危险废物、未混合贮存性质不相容且未经安全性处置的危险废物、具备防渗漏功能或采取相应措施等。</w:t>
            </w:r>
          </w:p>
          <w:p w14:paraId="036CB05D">
            <w:pPr>
              <w:widowControl/>
              <w:adjustRightInd w:val="0"/>
              <w:snapToGrid w:val="0"/>
              <w:spacing w:line="218" w:lineRule="auto"/>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B.</w:t>
            </w:r>
            <w:r>
              <w:rPr>
                <w:rFonts w:hint="default" w:ascii="Times New Roman" w:hAnsi="Times New Roman" w:eastAsia="楷体_GB2312" w:cs="Times New Roman"/>
                <w:sz w:val="24"/>
                <w:szCs w:val="24"/>
              </w:rPr>
              <w:t>符合</w:t>
            </w:r>
            <w:r>
              <w:rPr>
                <w:rFonts w:hint="default" w:ascii="Times New Roman" w:hAnsi="Times New Roman" w:eastAsia="楷体_GB2312" w:cs="Times New Roman"/>
                <w:kern w:val="0"/>
                <w:sz w:val="24"/>
                <w:szCs w:val="24"/>
              </w:rPr>
              <w:t>《危险废物贮存污染控制标准》贮存容器有关要求，装载危险废物的容器完好无损等</w:t>
            </w:r>
            <w:r>
              <w:rPr>
                <w:rFonts w:hint="default" w:ascii="Times New Roman" w:hAnsi="Times New Roman" w:eastAsia="楷体_GB2312" w:cs="Times New Roman"/>
                <w:sz w:val="24"/>
                <w:szCs w:val="24"/>
              </w:rPr>
              <w:t>。</w:t>
            </w:r>
          </w:p>
          <w:p w14:paraId="063B85EE">
            <w:pPr>
              <w:widowControl/>
              <w:adjustRightInd w:val="0"/>
              <w:snapToGrid w:val="0"/>
              <w:spacing w:line="218" w:lineRule="auto"/>
              <w:rPr>
                <w:rFonts w:hint="default" w:ascii="Times New Roman" w:hAnsi="Times New Roman" w:eastAsia="楷体_GB2312" w:cs="Times New Roman"/>
                <w:spacing w:val="-5"/>
                <w:sz w:val="24"/>
                <w:szCs w:val="24"/>
              </w:rPr>
            </w:pPr>
            <w:r>
              <w:rPr>
                <w:rFonts w:hint="default" w:ascii="Times New Roman" w:hAnsi="Times New Roman" w:eastAsia="楷体_GB2312" w:cs="Times New Roman"/>
                <w:spacing w:val="-5"/>
                <w:sz w:val="24"/>
                <w:szCs w:val="24"/>
              </w:rPr>
              <w:t>C.</w:t>
            </w:r>
            <w:r>
              <w:rPr>
                <w:rFonts w:hint="default" w:ascii="Times New Roman" w:hAnsi="Times New Roman" w:eastAsia="楷体_GB2312" w:cs="Times New Roman"/>
                <w:spacing w:val="-5"/>
                <w:kern w:val="0"/>
                <w:sz w:val="24"/>
                <w:szCs w:val="24"/>
              </w:rPr>
              <w:t>符合《危险废物贮存污染控制标准》污染物排放有关要求，</w:t>
            </w:r>
            <w:r>
              <w:rPr>
                <w:rFonts w:hint="default" w:ascii="Times New Roman" w:hAnsi="Times New Roman" w:eastAsia="楷体_GB2312" w:cs="Times New Roman"/>
                <w:spacing w:val="-5"/>
                <w:sz w:val="24"/>
                <w:szCs w:val="24"/>
              </w:rPr>
              <w:t>危险废物贮存过程产生的各种污染物满足国家污染物排放（控制）标准等要求。</w:t>
            </w:r>
          </w:p>
          <w:p w14:paraId="304C6512">
            <w:pPr>
              <w:widowControl/>
              <w:adjustRightInd w:val="0"/>
              <w:snapToGrid w:val="0"/>
              <w:spacing w:line="218" w:lineRule="auto"/>
              <w:rPr>
                <w:rFonts w:hint="default" w:ascii="Times New Roman" w:hAnsi="Times New Roman" w:eastAsia="楷体_GB2312" w:cs="Times New Roman"/>
                <w:kern w:val="0"/>
                <w:sz w:val="24"/>
                <w:szCs w:val="24"/>
              </w:rPr>
            </w:pPr>
            <w:r>
              <w:rPr>
                <w:rFonts w:hint="default" w:ascii="Times New Roman" w:hAnsi="Times New Roman" w:eastAsia="楷体_GB2312" w:cs="Times New Roman"/>
                <w:sz w:val="24"/>
                <w:szCs w:val="24"/>
              </w:rPr>
              <w:t>D.</w:t>
            </w:r>
            <w:r>
              <w:rPr>
                <w:rFonts w:hint="default" w:ascii="Times New Roman" w:hAnsi="Times New Roman" w:eastAsia="楷体_GB2312" w:cs="Times New Roman"/>
                <w:kern w:val="0"/>
                <w:sz w:val="24"/>
                <w:szCs w:val="24"/>
              </w:rPr>
              <w:t>符合《危险废物贮存污染控制标准》监测有关要求，按照有关规定开展自行监测等。</w:t>
            </w:r>
          </w:p>
          <w:p w14:paraId="529847A8">
            <w:pPr>
              <w:widowControl/>
              <w:adjustRightInd w:val="0"/>
              <w:snapToGrid w:val="0"/>
              <w:spacing w:line="218" w:lineRule="auto"/>
              <w:rPr>
                <w:rFonts w:hint="default" w:ascii="Times New Roman" w:hAnsi="Times New Roman" w:eastAsia="楷体_GB2312" w:cs="Times New Roman"/>
                <w:kern w:val="0"/>
                <w:sz w:val="24"/>
                <w:szCs w:val="24"/>
              </w:rPr>
            </w:pPr>
          </w:p>
          <w:p w14:paraId="0E034C95">
            <w:pPr>
              <w:widowControl/>
              <w:adjustRightInd w:val="0"/>
              <w:snapToGrid w:val="0"/>
              <w:spacing w:line="21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kern w:val="0"/>
                <w:sz w:val="24"/>
                <w:szCs w:val="24"/>
              </w:rPr>
              <w:t>以上每项符合得1分，共4分。</w:t>
            </w:r>
          </w:p>
        </w:tc>
        <w:tc>
          <w:tcPr>
            <w:tcW w:w="2266" w:type="dxa"/>
            <w:noWrap w:val="0"/>
            <w:vAlign w:val="center"/>
          </w:tcPr>
          <w:p w14:paraId="249F7906">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现场核查厂区内（不仅限于贮存设施）危险废物存放情况，重点核查是否存在随意堆存、与一般工业固体废物掺混等情形。</w:t>
            </w:r>
          </w:p>
        </w:tc>
        <w:tc>
          <w:tcPr>
            <w:tcW w:w="705" w:type="dxa"/>
            <w:noWrap w:val="0"/>
            <w:vAlign w:val="top"/>
          </w:tcPr>
          <w:p w14:paraId="6CBBCB33">
            <w:pPr>
              <w:widowControl/>
              <w:adjustRightInd w:val="0"/>
              <w:snapToGrid w:val="0"/>
              <w:jc w:val="left"/>
              <w:rPr>
                <w:rFonts w:hint="default" w:ascii="Times New Roman" w:hAnsi="Times New Roman" w:eastAsia="楷体_GB2312" w:cs="Times New Roman"/>
                <w:spacing w:val="-4"/>
                <w:kern w:val="0"/>
                <w:sz w:val="24"/>
                <w:szCs w:val="24"/>
              </w:rPr>
            </w:pPr>
          </w:p>
        </w:tc>
      </w:tr>
      <w:tr w14:paraId="40448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058" w:type="dxa"/>
            <w:vMerge w:val="continue"/>
            <w:noWrap w:val="0"/>
            <w:vAlign w:val="center"/>
          </w:tcPr>
          <w:p w14:paraId="53798E56">
            <w:pPr>
              <w:widowControl/>
              <w:adjustRightInd w:val="0"/>
              <w:snapToGrid w:val="0"/>
              <w:spacing w:line="218" w:lineRule="auto"/>
              <w:rPr>
                <w:rFonts w:hint="default" w:ascii="Times New Roman" w:hAnsi="Times New Roman" w:eastAsia="楷体_GB2312" w:cs="Times New Roman"/>
                <w:spacing w:val="-4"/>
                <w:kern w:val="0"/>
                <w:sz w:val="24"/>
                <w:szCs w:val="24"/>
              </w:rPr>
            </w:pPr>
          </w:p>
        </w:tc>
        <w:tc>
          <w:tcPr>
            <w:tcW w:w="2319" w:type="dxa"/>
            <w:noWrap w:val="0"/>
            <w:vAlign w:val="center"/>
          </w:tcPr>
          <w:p w14:paraId="1A323611">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17.贮存期限不超过一年；确需延长贮存期限的，报经颁发许可证的生态环境主管部门批准。</w:t>
            </w:r>
          </w:p>
        </w:tc>
        <w:tc>
          <w:tcPr>
            <w:tcW w:w="720" w:type="dxa"/>
            <w:noWrap w:val="0"/>
            <w:vAlign w:val="center"/>
          </w:tcPr>
          <w:p w14:paraId="0B4F4ED8">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14:paraId="4282D53A">
            <w:pPr>
              <w:widowControl/>
              <w:adjustRightInd w:val="0"/>
              <w:snapToGrid w:val="0"/>
              <w:spacing w:line="218"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14:paraId="790B2774">
            <w:pPr>
              <w:widowControl/>
              <w:adjustRightInd w:val="0"/>
              <w:snapToGrid w:val="0"/>
              <w:spacing w:line="21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危险废物贮存不超过一年；超过一年的报经颁发许可证的生态环境主管部门批准。</w:t>
            </w:r>
          </w:p>
        </w:tc>
        <w:tc>
          <w:tcPr>
            <w:tcW w:w="5120" w:type="dxa"/>
            <w:gridSpan w:val="2"/>
            <w:noWrap w:val="0"/>
            <w:vAlign w:val="center"/>
          </w:tcPr>
          <w:p w14:paraId="46AF4ED9">
            <w:pPr>
              <w:widowControl/>
              <w:adjustRightInd w:val="0"/>
              <w:snapToGrid w:val="0"/>
              <w:spacing w:line="21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1.危险废物贮存不超过一年，超过一年的报经颁发许可证的生态环境主管部门批准，提供相应的证明材料。得1分。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10"/>
                <w:kern w:val="0"/>
                <w:sz w:val="24"/>
                <w:szCs w:val="24"/>
              </w:rPr>
              <w:t>2.危险废物贮存超过一年且未获有效批准。得0分。</w:t>
            </w:r>
          </w:p>
        </w:tc>
        <w:tc>
          <w:tcPr>
            <w:tcW w:w="2266" w:type="dxa"/>
            <w:noWrap w:val="0"/>
            <w:vAlign w:val="center"/>
          </w:tcPr>
          <w:p w14:paraId="5324F799">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查阅相关资料（查看经营管理台账）、现场核查</w:t>
            </w:r>
          </w:p>
        </w:tc>
        <w:tc>
          <w:tcPr>
            <w:tcW w:w="705" w:type="dxa"/>
            <w:noWrap w:val="0"/>
            <w:vAlign w:val="top"/>
          </w:tcPr>
          <w:p w14:paraId="7F22D75F">
            <w:pPr>
              <w:widowControl/>
              <w:adjustRightInd w:val="0"/>
              <w:snapToGrid w:val="0"/>
              <w:jc w:val="left"/>
              <w:rPr>
                <w:rFonts w:hint="default" w:ascii="Times New Roman" w:hAnsi="Times New Roman" w:eastAsia="楷体_GB2312" w:cs="Times New Roman"/>
                <w:spacing w:val="-4"/>
                <w:kern w:val="0"/>
                <w:sz w:val="24"/>
                <w:szCs w:val="24"/>
              </w:rPr>
            </w:pPr>
          </w:p>
        </w:tc>
      </w:tr>
      <w:tr w14:paraId="24F385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1058" w:type="dxa"/>
            <w:vMerge w:val="restart"/>
            <w:noWrap w:val="0"/>
            <w:vAlign w:val="center"/>
          </w:tcPr>
          <w:p w14:paraId="52D49EA3">
            <w:pPr>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九、利用处置设施环境管理（《固废法》第十七条、第十八条、第十九条、第七十九条、第八十八条）</w:t>
            </w:r>
          </w:p>
        </w:tc>
        <w:tc>
          <w:tcPr>
            <w:tcW w:w="2319" w:type="dxa"/>
            <w:noWrap w:val="0"/>
            <w:vAlign w:val="center"/>
          </w:tcPr>
          <w:p w14:paraId="112A3E3E">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18.依法进行环境影响评价，完成“三同时”验收。</w:t>
            </w:r>
          </w:p>
        </w:tc>
        <w:tc>
          <w:tcPr>
            <w:tcW w:w="720" w:type="dxa"/>
            <w:noWrap w:val="0"/>
            <w:vAlign w:val="center"/>
          </w:tcPr>
          <w:p w14:paraId="3A4CDF46">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14:paraId="44A2B99C">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14:paraId="77687A86">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有环评材料，并完成“三同时”验收。</w:t>
            </w:r>
          </w:p>
        </w:tc>
        <w:tc>
          <w:tcPr>
            <w:tcW w:w="5120" w:type="dxa"/>
            <w:gridSpan w:val="2"/>
            <w:noWrap w:val="0"/>
            <w:vAlign w:val="center"/>
          </w:tcPr>
          <w:p w14:paraId="2B13F3E9">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1.环境影响评价文件对全部危险废物利用处置设施进行了评价，且完成了“三同时”验收或在验收期限内。得2分。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6"/>
                <w:kern w:val="0"/>
                <w:sz w:val="24"/>
                <w:szCs w:val="24"/>
              </w:rPr>
              <w:t>2.环境影响评价文件对全部危险废物利用处置设施进行了评价，但未完成“三同时”验收。得1分。</w:t>
            </w:r>
          </w:p>
          <w:p w14:paraId="6E31E835">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3.环境影响评价文件仅对部分危险废物利用处置设施进行了评价，且完成了“三同时”验收或在验收期限内。得1分。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4.环境影响评价文件未对危险废物利用处置设施进行评价或危险废物实际利用处置方式与环境影响评价文件不一致。得0分。</w:t>
            </w:r>
          </w:p>
        </w:tc>
        <w:tc>
          <w:tcPr>
            <w:tcW w:w="2266" w:type="dxa"/>
            <w:noWrap w:val="0"/>
            <w:vAlign w:val="center"/>
          </w:tcPr>
          <w:p w14:paraId="673BAC0C">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查阅相关资料（查看环评材料及批复、验收报告等）</w:t>
            </w:r>
          </w:p>
        </w:tc>
        <w:tc>
          <w:tcPr>
            <w:tcW w:w="705" w:type="dxa"/>
            <w:noWrap w:val="0"/>
            <w:vAlign w:val="center"/>
          </w:tcPr>
          <w:p w14:paraId="38A2C033">
            <w:pPr>
              <w:widowControl/>
              <w:adjustRightInd w:val="0"/>
              <w:snapToGrid w:val="0"/>
              <w:jc w:val="left"/>
              <w:rPr>
                <w:rFonts w:hint="default" w:ascii="Times New Roman" w:hAnsi="Times New Roman" w:eastAsia="楷体_GB2312" w:cs="Times New Roman"/>
                <w:spacing w:val="-4"/>
                <w:kern w:val="0"/>
                <w:sz w:val="24"/>
                <w:szCs w:val="24"/>
              </w:rPr>
            </w:pPr>
          </w:p>
        </w:tc>
      </w:tr>
      <w:tr w14:paraId="4097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058" w:type="dxa"/>
            <w:vMerge w:val="continue"/>
            <w:noWrap w:val="0"/>
            <w:vAlign w:val="center"/>
          </w:tcPr>
          <w:p w14:paraId="0BBE923E">
            <w:pPr>
              <w:adjustRightInd w:val="0"/>
              <w:snapToGrid w:val="0"/>
              <w:spacing w:line="221" w:lineRule="auto"/>
              <w:jc w:val="left"/>
              <w:rPr>
                <w:rFonts w:hint="default" w:ascii="Times New Roman" w:hAnsi="Times New Roman" w:eastAsia="楷体_GB2312" w:cs="Times New Roman"/>
                <w:spacing w:val="-4"/>
                <w:kern w:val="0"/>
                <w:sz w:val="24"/>
                <w:szCs w:val="24"/>
              </w:rPr>
            </w:pPr>
          </w:p>
        </w:tc>
        <w:tc>
          <w:tcPr>
            <w:tcW w:w="2319" w:type="dxa"/>
            <w:noWrap w:val="0"/>
            <w:vAlign w:val="center"/>
          </w:tcPr>
          <w:p w14:paraId="1E45A15E">
            <w:pPr>
              <w:widowControl/>
              <w:adjustRightInd w:val="0"/>
              <w:snapToGrid w:val="0"/>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19.符合运行环境管理要求。</w:t>
            </w:r>
          </w:p>
        </w:tc>
        <w:tc>
          <w:tcPr>
            <w:tcW w:w="720" w:type="dxa"/>
            <w:noWrap w:val="0"/>
            <w:vAlign w:val="center"/>
          </w:tcPr>
          <w:p w14:paraId="20B53346">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w:t>
            </w:r>
          </w:p>
        </w:tc>
        <w:tc>
          <w:tcPr>
            <w:tcW w:w="710" w:type="dxa"/>
            <w:noWrap w:val="0"/>
            <w:vAlign w:val="center"/>
          </w:tcPr>
          <w:p w14:paraId="54ED9098">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14:paraId="5C0F6D36">
            <w:pPr>
              <w:widowControl/>
              <w:adjustRightInd w:val="0"/>
              <w:snapToGrid w:val="0"/>
              <w:rPr>
                <w:rFonts w:hint="default" w:ascii="Times New Roman" w:hAnsi="Times New Roman" w:eastAsia="楷体_GB2312" w:cs="Times New Roman"/>
                <w:strike/>
                <w:spacing w:val="-4"/>
                <w:kern w:val="0"/>
                <w:sz w:val="24"/>
                <w:szCs w:val="24"/>
              </w:rPr>
            </w:pPr>
            <w:r>
              <w:rPr>
                <w:rFonts w:hint="default" w:ascii="Times New Roman" w:hAnsi="Times New Roman" w:eastAsia="楷体_GB2312" w:cs="Times New Roman"/>
                <w:spacing w:val="-4"/>
                <w:kern w:val="0"/>
                <w:sz w:val="24"/>
                <w:szCs w:val="24"/>
              </w:rPr>
              <w:t>运行要求符合相关标准要求。</w:t>
            </w:r>
          </w:p>
        </w:tc>
        <w:tc>
          <w:tcPr>
            <w:tcW w:w="5120" w:type="dxa"/>
            <w:gridSpan w:val="2"/>
            <w:noWrap w:val="0"/>
            <w:vAlign w:val="center"/>
          </w:tcPr>
          <w:p w14:paraId="1EE36403">
            <w:pPr>
              <w:widowControl/>
              <w:adjustRightInd w:val="0"/>
              <w:snapToGrid w:val="0"/>
              <w:spacing w:line="216" w:lineRule="auto"/>
              <w:rPr>
                <w:rFonts w:hint="default" w:ascii="Times New Roman" w:hAnsi="Times New Roman" w:eastAsia="楷体_GB2312" w:cs="Times New Roman"/>
                <w:strike/>
                <w:spacing w:val="-4"/>
                <w:kern w:val="0"/>
                <w:sz w:val="24"/>
                <w:szCs w:val="24"/>
              </w:rPr>
            </w:pPr>
            <w:r>
              <w:rPr>
                <w:rFonts w:hint="default" w:ascii="Times New Roman" w:hAnsi="Times New Roman" w:eastAsia="楷体_GB2312" w:cs="Times New Roman"/>
                <w:spacing w:val="-4"/>
                <w:kern w:val="0"/>
                <w:sz w:val="24"/>
                <w:szCs w:val="24"/>
              </w:rPr>
              <w:t>利用处置危险废物过程符合国家和地方相关标准规范（如《危险废物焚烧污染控制标准》《危险废物填埋污染控制标准》《水泥窑协同处置固体废物污染控制标准》等）。得6分。根据实际情况，酌情打分。</w:t>
            </w:r>
          </w:p>
        </w:tc>
        <w:tc>
          <w:tcPr>
            <w:tcW w:w="2266" w:type="dxa"/>
            <w:noWrap w:val="0"/>
            <w:vAlign w:val="center"/>
          </w:tcPr>
          <w:p w14:paraId="00FCD9E6">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查阅相关资料（相关标准或技术规范、污染物排放监测报告）</w:t>
            </w:r>
          </w:p>
        </w:tc>
        <w:tc>
          <w:tcPr>
            <w:tcW w:w="705" w:type="dxa"/>
            <w:noWrap w:val="0"/>
            <w:vAlign w:val="center"/>
          </w:tcPr>
          <w:p w14:paraId="698A65E9">
            <w:pPr>
              <w:widowControl/>
              <w:adjustRightInd w:val="0"/>
              <w:snapToGrid w:val="0"/>
              <w:jc w:val="left"/>
              <w:rPr>
                <w:rFonts w:hint="default" w:ascii="Times New Roman" w:hAnsi="Times New Roman" w:eastAsia="楷体_GB2312" w:cs="Times New Roman"/>
                <w:spacing w:val="-4"/>
                <w:kern w:val="0"/>
                <w:sz w:val="24"/>
                <w:szCs w:val="24"/>
              </w:rPr>
            </w:pPr>
          </w:p>
        </w:tc>
      </w:tr>
      <w:tr w14:paraId="7F608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58" w:type="dxa"/>
            <w:vMerge w:val="continue"/>
            <w:noWrap w:val="0"/>
            <w:vAlign w:val="center"/>
          </w:tcPr>
          <w:p w14:paraId="092D7032">
            <w:pPr>
              <w:widowControl/>
              <w:adjustRightInd w:val="0"/>
              <w:snapToGrid w:val="0"/>
              <w:spacing w:line="221" w:lineRule="auto"/>
              <w:jc w:val="left"/>
              <w:rPr>
                <w:rFonts w:hint="default" w:ascii="Times New Roman" w:hAnsi="Times New Roman" w:eastAsia="楷体_GB2312" w:cs="Times New Roman"/>
                <w:spacing w:val="-4"/>
                <w:kern w:val="0"/>
                <w:sz w:val="24"/>
                <w:szCs w:val="24"/>
              </w:rPr>
            </w:pPr>
          </w:p>
        </w:tc>
        <w:tc>
          <w:tcPr>
            <w:tcW w:w="2319" w:type="dxa"/>
            <w:noWrap w:val="0"/>
            <w:vAlign w:val="center"/>
          </w:tcPr>
          <w:p w14:paraId="54133606">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20.按照有关要求定期对利用处置设施污染物排放进行环境监测，并符合相关标准要求。</w:t>
            </w:r>
          </w:p>
        </w:tc>
        <w:tc>
          <w:tcPr>
            <w:tcW w:w="720" w:type="dxa"/>
            <w:noWrap w:val="0"/>
            <w:vAlign w:val="center"/>
          </w:tcPr>
          <w:p w14:paraId="46C2B7EB">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14:paraId="6C28143E">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14:paraId="6AE20D1F">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监测点位、指标及频次符合要求，有定期环境监测报告，并且污染物排放符合相关标准要求。</w:t>
            </w:r>
          </w:p>
        </w:tc>
        <w:tc>
          <w:tcPr>
            <w:tcW w:w="5120" w:type="dxa"/>
            <w:gridSpan w:val="2"/>
            <w:noWrap w:val="0"/>
            <w:vAlign w:val="center"/>
          </w:tcPr>
          <w:p w14:paraId="12744923">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按照有关法律和排污单位自行监测技术指南等规定，建立企业监测制度，制定监测方案，且近一年内按照监测方案要求的监测点位、监测指标和监测频次对利用处置设施污染物排放情况进行了监测，有环境监测报告，并且污染物排放符合执行标准。得2分。</w:t>
            </w:r>
          </w:p>
          <w:p w14:paraId="18C0030D">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2.近一年内有环境监测报告，并且污染物排放符合执行标准，但监测点位不符合要求或监测指标、频次不足。得1分。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3.近一年内未对污染物排放情况进行监测，或污染物超标排放。得0分。</w:t>
            </w:r>
          </w:p>
          <w:p w14:paraId="78AE9365">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注：企业可根据自身条件和能力，利用自有人员、场所和设备自行监测；也可委托其他有资质的检（监）测机构代其开展自行监测。</w:t>
            </w:r>
          </w:p>
        </w:tc>
        <w:tc>
          <w:tcPr>
            <w:tcW w:w="2266" w:type="dxa"/>
            <w:noWrap w:val="0"/>
            <w:vAlign w:val="center"/>
          </w:tcPr>
          <w:p w14:paraId="00EBE325">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查阅相关资料（对照相关标准查看环境监测报告）、现场核查</w:t>
            </w:r>
          </w:p>
        </w:tc>
        <w:tc>
          <w:tcPr>
            <w:tcW w:w="705" w:type="dxa"/>
            <w:noWrap w:val="0"/>
            <w:vAlign w:val="center"/>
          </w:tcPr>
          <w:p w14:paraId="364378F5">
            <w:pPr>
              <w:widowControl/>
              <w:adjustRightInd w:val="0"/>
              <w:snapToGrid w:val="0"/>
              <w:jc w:val="left"/>
              <w:rPr>
                <w:rFonts w:hint="default" w:ascii="Times New Roman" w:hAnsi="Times New Roman" w:eastAsia="楷体_GB2312" w:cs="Times New Roman"/>
                <w:spacing w:val="-4"/>
                <w:kern w:val="0"/>
                <w:sz w:val="24"/>
                <w:szCs w:val="24"/>
              </w:rPr>
            </w:pPr>
          </w:p>
        </w:tc>
      </w:tr>
      <w:tr w14:paraId="14689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1058" w:type="dxa"/>
            <w:vMerge w:val="restart"/>
            <w:noWrap w:val="0"/>
            <w:vAlign w:val="center"/>
          </w:tcPr>
          <w:p w14:paraId="0A17A36D">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九、利用处置设施环境管理（《固废法》第十七条、第十八条、第十九条、第七十九条、第八十八条）</w:t>
            </w:r>
          </w:p>
        </w:tc>
        <w:tc>
          <w:tcPr>
            <w:tcW w:w="2319" w:type="dxa"/>
            <w:noWrap w:val="0"/>
            <w:vAlign w:val="center"/>
          </w:tcPr>
          <w:p w14:paraId="3021B011">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21.重点危险废物集中处置设施、场所退役前，运营单位应当按照国家有关规定对设施、场所采取污染防治措施。</w:t>
            </w:r>
          </w:p>
        </w:tc>
        <w:tc>
          <w:tcPr>
            <w:tcW w:w="720" w:type="dxa"/>
            <w:noWrap w:val="0"/>
            <w:vAlign w:val="center"/>
          </w:tcPr>
          <w:p w14:paraId="26D1FA10">
            <w:pPr>
              <w:widowControl/>
              <w:adjustRightInd w:val="0"/>
              <w:snapToGrid w:val="0"/>
              <w:spacing w:line="221"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14:paraId="1D24BB91">
            <w:pPr>
              <w:widowControl/>
              <w:adjustRightInd w:val="0"/>
              <w:snapToGrid w:val="0"/>
              <w:spacing w:line="221"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14:paraId="77E46E34">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退役费用预提；对封场的填埋场采取封闭措施，设置永久性标记。</w:t>
            </w:r>
          </w:p>
        </w:tc>
        <w:tc>
          <w:tcPr>
            <w:tcW w:w="5120" w:type="dxa"/>
            <w:gridSpan w:val="2"/>
            <w:noWrap w:val="0"/>
            <w:vAlign w:val="center"/>
          </w:tcPr>
          <w:p w14:paraId="33A92560">
            <w:pPr>
              <w:widowControl/>
              <w:adjustRightInd w:val="0"/>
              <w:snapToGrid w:val="0"/>
              <w:spacing w:line="221"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A.填埋危险废物的设施退役费用列入投资概算或者生产成本，且按照国家和地方要求按时缴纳。</w:t>
            </w:r>
          </w:p>
          <w:p w14:paraId="3648B646">
            <w:pPr>
              <w:widowControl/>
              <w:adjustRightInd w:val="0"/>
              <w:snapToGrid w:val="0"/>
              <w:spacing w:line="221"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B.危险废物填埋场服役期届满后，按照有关规定对填埋过危险废物的土地采取封闭措施，并在划定的封闭区域设置永久性标记。</w:t>
            </w:r>
          </w:p>
          <w:p w14:paraId="34BC7E2E">
            <w:pPr>
              <w:widowControl/>
              <w:adjustRightInd w:val="0"/>
              <w:snapToGrid w:val="0"/>
              <w:spacing w:line="221" w:lineRule="auto"/>
              <w:jc w:val="left"/>
              <w:rPr>
                <w:rFonts w:hint="default" w:ascii="Times New Roman" w:hAnsi="Times New Roman" w:eastAsia="楷体_GB2312" w:cs="Times New Roman"/>
                <w:spacing w:val="-4"/>
                <w:kern w:val="0"/>
                <w:sz w:val="24"/>
                <w:szCs w:val="24"/>
              </w:rPr>
            </w:pPr>
          </w:p>
          <w:p w14:paraId="69F84128">
            <w:pPr>
              <w:widowControl/>
              <w:adjustRightInd w:val="0"/>
              <w:snapToGrid w:val="0"/>
              <w:spacing w:line="221"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以上每项符合得0.5分，共1分。</w:t>
            </w:r>
          </w:p>
        </w:tc>
        <w:tc>
          <w:tcPr>
            <w:tcW w:w="2266" w:type="dxa"/>
            <w:noWrap w:val="0"/>
            <w:vAlign w:val="center"/>
          </w:tcPr>
          <w:p w14:paraId="0BC07495">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w:t>
            </w:r>
          </w:p>
        </w:tc>
        <w:tc>
          <w:tcPr>
            <w:tcW w:w="705" w:type="dxa"/>
            <w:noWrap w:val="0"/>
            <w:vAlign w:val="center"/>
          </w:tcPr>
          <w:p w14:paraId="42C1F1B7">
            <w:pPr>
              <w:widowControl/>
              <w:adjustRightInd w:val="0"/>
              <w:snapToGrid w:val="0"/>
              <w:jc w:val="left"/>
              <w:rPr>
                <w:rFonts w:hint="default" w:ascii="Times New Roman" w:hAnsi="Times New Roman" w:eastAsia="楷体_GB2312" w:cs="Times New Roman"/>
                <w:spacing w:val="-4"/>
                <w:kern w:val="0"/>
                <w:sz w:val="24"/>
                <w:szCs w:val="24"/>
              </w:rPr>
            </w:pPr>
          </w:p>
        </w:tc>
      </w:tr>
      <w:tr w14:paraId="75A14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1" w:hRule="atLeast"/>
        </w:trPr>
        <w:tc>
          <w:tcPr>
            <w:tcW w:w="1058" w:type="dxa"/>
            <w:vMerge w:val="continue"/>
            <w:noWrap w:val="0"/>
            <w:vAlign w:val="center"/>
          </w:tcPr>
          <w:p w14:paraId="0DAC0D51">
            <w:pPr>
              <w:widowControl/>
              <w:adjustRightInd w:val="0"/>
              <w:snapToGrid w:val="0"/>
              <w:spacing w:line="221" w:lineRule="auto"/>
              <w:rPr>
                <w:rFonts w:hint="default" w:ascii="Times New Roman" w:hAnsi="Times New Roman" w:eastAsia="楷体_GB2312" w:cs="Times New Roman"/>
                <w:spacing w:val="-4"/>
                <w:kern w:val="0"/>
                <w:sz w:val="24"/>
                <w:szCs w:val="24"/>
              </w:rPr>
            </w:pPr>
          </w:p>
        </w:tc>
        <w:tc>
          <w:tcPr>
            <w:tcW w:w="2319" w:type="dxa"/>
            <w:noWrap w:val="0"/>
            <w:vAlign w:val="center"/>
          </w:tcPr>
          <w:p w14:paraId="12F13AAA">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22.危险废物资源化利用过程符合环境保护要求。</w:t>
            </w:r>
          </w:p>
        </w:tc>
        <w:tc>
          <w:tcPr>
            <w:tcW w:w="720" w:type="dxa"/>
            <w:noWrap w:val="0"/>
            <w:vAlign w:val="center"/>
          </w:tcPr>
          <w:p w14:paraId="2CF308A2">
            <w:pPr>
              <w:widowControl/>
              <w:adjustRightInd w:val="0"/>
              <w:snapToGrid w:val="0"/>
              <w:spacing w:line="221"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w:t>
            </w:r>
          </w:p>
        </w:tc>
        <w:tc>
          <w:tcPr>
            <w:tcW w:w="710" w:type="dxa"/>
            <w:noWrap w:val="0"/>
            <w:vAlign w:val="center"/>
          </w:tcPr>
          <w:p w14:paraId="687A8D0D">
            <w:pPr>
              <w:widowControl/>
              <w:adjustRightInd w:val="0"/>
              <w:snapToGrid w:val="0"/>
              <w:spacing w:line="221" w:lineRule="auto"/>
              <w:rPr>
                <w:rFonts w:hint="default" w:ascii="Times New Roman" w:hAnsi="Times New Roman" w:eastAsia="楷体_GB2312" w:cs="Times New Roman"/>
                <w:strike/>
                <w:spacing w:val="-4"/>
                <w:kern w:val="0"/>
                <w:sz w:val="24"/>
                <w:szCs w:val="24"/>
              </w:rPr>
            </w:pPr>
          </w:p>
        </w:tc>
        <w:tc>
          <w:tcPr>
            <w:tcW w:w="1850" w:type="dxa"/>
            <w:noWrap w:val="0"/>
            <w:vAlign w:val="center"/>
          </w:tcPr>
          <w:p w14:paraId="673EAB05">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符合《固体废物鉴别标准通则》相关要求。</w:t>
            </w:r>
          </w:p>
        </w:tc>
        <w:tc>
          <w:tcPr>
            <w:tcW w:w="5120" w:type="dxa"/>
            <w:gridSpan w:val="2"/>
            <w:noWrap w:val="0"/>
            <w:vAlign w:val="center"/>
          </w:tcPr>
          <w:p w14:paraId="62A138C7">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满足以下条件之一的，得6分：</w:t>
            </w:r>
          </w:p>
          <w:p w14:paraId="5D53AD66">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A.危险废物资源化产物生产过程中排放到环境中的有害物质限值和该产物中有害物质的含量限值，符合国家相关污染物排放（控制）标准或技术规范要求，并提供证明材料。</w:t>
            </w:r>
          </w:p>
          <w:p w14:paraId="68146C7C">
            <w:pPr>
              <w:widowControl/>
              <w:adjustRightInd w:val="0"/>
              <w:snapToGrid w:val="0"/>
              <w:spacing w:line="221"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当没有国家污染控制标准或技术规范时，危险废物资源化产物中所含有害成分含量不高于利用被替代原料生产的产品中的有害成分含量，并且在该产物生产过程中，排放到环境中的有害物质浓度不高于利用所替代原料生产产品过程中排放到环境中的有害物质浓度，并提供证明材料。</w:t>
            </w:r>
          </w:p>
        </w:tc>
        <w:tc>
          <w:tcPr>
            <w:tcW w:w="2266" w:type="dxa"/>
            <w:noWrap w:val="0"/>
            <w:vAlign w:val="center"/>
          </w:tcPr>
          <w:p w14:paraId="2636F454">
            <w:pPr>
              <w:widowControl/>
              <w:adjustRightInd w:val="0"/>
              <w:snapToGrid w:val="0"/>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查阅相关资料（相关标准或技术规范、污染物排放监测报告、有害物质含量检测报告）</w:t>
            </w:r>
          </w:p>
        </w:tc>
        <w:tc>
          <w:tcPr>
            <w:tcW w:w="705" w:type="dxa"/>
            <w:noWrap w:val="0"/>
            <w:vAlign w:val="center"/>
          </w:tcPr>
          <w:p w14:paraId="48F3BD45">
            <w:pPr>
              <w:widowControl/>
              <w:adjustRightInd w:val="0"/>
              <w:snapToGrid w:val="0"/>
              <w:jc w:val="left"/>
              <w:rPr>
                <w:rFonts w:hint="default" w:ascii="Times New Roman" w:hAnsi="Times New Roman" w:eastAsia="楷体_GB2312" w:cs="Times New Roman"/>
                <w:spacing w:val="-4"/>
                <w:kern w:val="0"/>
                <w:sz w:val="24"/>
                <w:szCs w:val="24"/>
              </w:rPr>
            </w:pPr>
          </w:p>
        </w:tc>
      </w:tr>
      <w:tr w14:paraId="2EA32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1058" w:type="dxa"/>
            <w:noWrap w:val="0"/>
            <w:vAlign w:val="center"/>
          </w:tcPr>
          <w:p w14:paraId="1D70A8BA">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十、运行环境管理要求（《固废法》第十九条）</w:t>
            </w:r>
          </w:p>
        </w:tc>
        <w:tc>
          <w:tcPr>
            <w:tcW w:w="2319" w:type="dxa"/>
            <w:noWrap w:val="0"/>
            <w:vAlign w:val="center"/>
          </w:tcPr>
          <w:p w14:paraId="240F9A65">
            <w:pPr>
              <w:widowControl/>
              <w:adjustRightInd w:val="0"/>
              <w:snapToGrid w:val="0"/>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23.危险废物（医疗废物除外）入厂时进行特性分析。在利用处置前对危险废物相关参数进行分析。</w:t>
            </w:r>
          </w:p>
        </w:tc>
        <w:tc>
          <w:tcPr>
            <w:tcW w:w="720" w:type="dxa"/>
            <w:noWrap w:val="0"/>
            <w:vAlign w:val="center"/>
          </w:tcPr>
          <w:p w14:paraId="18A8AE2A">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w:t>
            </w:r>
          </w:p>
        </w:tc>
        <w:tc>
          <w:tcPr>
            <w:tcW w:w="710" w:type="dxa"/>
            <w:noWrap w:val="0"/>
            <w:vAlign w:val="center"/>
          </w:tcPr>
          <w:p w14:paraId="060A5E7F">
            <w:pPr>
              <w:widowControl/>
              <w:adjustRightInd w:val="0"/>
              <w:snapToGrid w:val="0"/>
              <w:jc w:val="center"/>
              <w:rPr>
                <w:rFonts w:hint="default" w:ascii="Times New Roman" w:hAnsi="Times New Roman" w:eastAsia="楷体_GB2312" w:cs="Times New Roman"/>
                <w:spacing w:val="-4"/>
                <w:kern w:val="0"/>
                <w:sz w:val="24"/>
                <w:szCs w:val="24"/>
              </w:rPr>
            </w:pPr>
          </w:p>
        </w:tc>
        <w:tc>
          <w:tcPr>
            <w:tcW w:w="1850" w:type="dxa"/>
            <w:noWrap w:val="0"/>
            <w:vAlign w:val="center"/>
          </w:tcPr>
          <w:p w14:paraId="6ABF3DCF">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在入场时对所接收的性质不明确的危险废物进行危险特性分析。在利用处置前对危险废物相关参数进行分析。</w:t>
            </w:r>
          </w:p>
        </w:tc>
        <w:tc>
          <w:tcPr>
            <w:tcW w:w="5120" w:type="dxa"/>
            <w:gridSpan w:val="2"/>
            <w:noWrap w:val="0"/>
            <w:vAlign w:val="center"/>
          </w:tcPr>
          <w:p w14:paraId="6E26B85D">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A.在入场时对所接收的性质不明确的危险废物进行危险特性分析，提供分析报告。</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B.在利用处置前对危险废物的相关参数进行分析并记录结果（如在焚烧危险废物前，对危险废物的热值、含氯量、含硫量、重金属含量等相关参数进行分析并记录结果）。</w:t>
            </w:r>
          </w:p>
          <w:p w14:paraId="325BF7BF">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p>
          <w:p w14:paraId="06AA2F36">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以上每项符合得2分，共4分。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注：对于接受种类单一、来源单一、未有性质不明确危险废物的经营单位，该项可不做评估。</w:t>
            </w:r>
          </w:p>
        </w:tc>
        <w:tc>
          <w:tcPr>
            <w:tcW w:w="2266" w:type="dxa"/>
            <w:noWrap w:val="0"/>
            <w:vAlign w:val="center"/>
          </w:tcPr>
          <w:p w14:paraId="6AF82CCE">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查阅相关资料（查看分析报告等）</w:t>
            </w:r>
          </w:p>
        </w:tc>
        <w:tc>
          <w:tcPr>
            <w:tcW w:w="705" w:type="dxa"/>
            <w:noWrap w:val="0"/>
            <w:vAlign w:val="center"/>
          </w:tcPr>
          <w:p w14:paraId="1550DD13">
            <w:pPr>
              <w:widowControl/>
              <w:adjustRightInd w:val="0"/>
              <w:snapToGrid w:val="0"/>
              <w:jc w:val="left"/>
              <w:rPr>
                <w:rFonts w:hint="default" w:ascii="Times New Roman" w:hAnsi="Times New Roman" w:eastAsia="楷体_GB2312" w:cs="Times New Roman"/>
                <w:spacing w:val="-4"/>
                <w:kern w:val="0"/>
                <w:sz w:val="24"/>
                <w:szCs w:val="24"/>
              </w:rPr>
            </w:pPr>
          </w:p>
        </w:tc>
      </w:tr>
      <w:tr w14:paraId="21475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58" w:type="dxa"/>
            <w:noWrap w:val="0"/>
            <w:vAlign w:val="center"/>
          </w:tcPr>
          <w:p w14:paraId="190F0246">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十、运行环境管理要求（《固废法》第十九条）</w:t>
            </w:r>
          </w:p>
        </w:tc>
        <w:tc>
          <w:tcPr>
            <w:tcW w:w="2319" w:type="dxa"/>
            <w:noWrap w:val="0"/>
            <w:vAlign w:val="center"/>
          </w:tcPr>
          <w:p w14:paraId="3C4A2737">
            <w:pPr>
              <w:widowControl/>
              <w:adjustRightInd w:val="0"/>
              <w:snapToGrid w:val="0"/>
              <w:spacing w:line="22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11"/>
                <w:kern w:val="0"/>
                <w:sz w:val="24"/>
                <w:szCs w:val="24"/>
              </w:rPr>
              <w:t>24.定期对利用处置设施、监测设备以及运行设备等进行检查，发现破损，应及时采取措施清理更换，应对环境监测和分析仪器进行校正和维护。</w:t>
            </w:r>
          </w:p>
        </w:tc>
        <w:tc>
          <w:tcPr>
            <w:tcW w:w="720" w:type="dxa"/>
            <w:noWrap w:val="0"/>
            <w:vAlign w:val="center"/>
          </w:tcPr>
          <w:p w14:paraId="413ED0B4">
            <w:pPr>
              <w:widowControl/>
              <w:adjustRightInd w:val="0"/>
              <w:snapToGrid w:val="0"/>
              <w:spacing w:line="22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14:paraId="41AEFF95">
            <w:pPr>
              <w:widowControl/>
              <w:adjustRightInd w:val="0"/>
              <w:snapToGrid w:val="0"/>
              <w:spacing w:line="228" w:lineRule="auto"/>
              <w:jc w:val="left"/>
              <w:rPr>
                <w:rFonts w:hint="default" w:ascii="Times New Roman" w:hAnsi="Times New Roman" w:eastAsia="楷体_GB2312" w:cs="Times New Roman"/>
                <w:spacing w:val="-4"/>
                <w:kern w:val="0"/>
                <w:sz w:val="24"/>
                <w:szCs w:val="24"/>
              </w:rPr>
            </w:pPr>
          </w:p>
        </w:tc>
        <w:tc>
          <w:tcPr>
            <w:tcW w:w="1850" w:type="dxa"/>
            <w:noWrap w:val="0"/>
            <w:vAlign w:val="center"/>
          </w:tcPr>
          <w:p w14:paraId="53A15AAE">
            <w:pPr>
              <w:widowControl/>
              <w:adjustRightInd w:val="0"/>
              <w:snapToGrid w:val="0"/>
              <w:spacing w:line="22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定期对相关设施进行检查和维护，且运行正常。</w:t>
            </w:r>
          </w:p>
        </w:tc>
        <w:tc>
          <w:tcPr>
            <w:tcW w:w="5120" w:type="dxa"/>
            <w:gridSpan w:val="2"/>
            <w:noWrap w:val="0"/>
            <w:vAlign w:val="center"/>
          </w:tcPr>
          <w:p w14:paraId="362014C6">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A.定期对利用处置设施、监测设备和运行设备进行检查和维护，且运行正常。</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B.定期对环境监测和分析仪器进行校正和维护，且检测精准。</w:t>
            </w:r>
          </w:p>
          <w:p w14:paraId="49DF32C9">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以上每项符合得0.5分，共1分。</w:t>
            </w:r>
          </w:p>
        </w:tc>
        <w:tc>
          <w:tcPr>
            <w:tcW w:w="2266" w:type="dxa"/>
            <w:noWrap w:val="0"/>
            <w:vAlign w:val="center"/>
          </w:tcPr>
          <w:p w14:paraId="4269D37A">
            <w:pPr>
              <w:widowControl/>
              <w:adjustRightInd w:val="0"/>
              <w:snapToGrid w:val="0"/>
              <w:spacing w:line="22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查阅相关资料、现场核查（查看检查和维护记录）</w:t>
            </w:r>
          </w:p>
        </w:tc>
        <w:tc>
          <w:tcPr>
            <w:tcW w:w="705" w:type="dxa"/>
            <w:noWrap w:val="0"/>
            <w:vAlign w:val="center"/>
          </w:tcPr>
          <w:p w14:paraId="5B105425">
            <w:pPr>
              <w:widowControl/>
              <w:adjustRightInd w:val="0"/>
              <w:snapToGrid w:val="0"/>
              <w:jc w:val="left"/>
              <w:rPr>
                <w:rFonts w:hint="default" w:ascii="Times New Roman" w:hAnsi="Times New Roman" w:eastAsia="楷体_GB2312" w:cs="Times New Roman"/>
                <w:spacing w:val="-4"/>
                <w:kern w:val="0"/>
                <w:sz w:val="24"/>
                <w:szCs w:val="24"/>
              </w:rPr>
            </w:pPr>
          </w:p>
        </w:tc>
      </w:tr>
      <w:tr w14:paraId="49896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58" w:type="dxa"/>
            <w:vMerge w:val="restart"/>
            <w:noWrap w:val="0"/>
            <w:vAlign w:val="center"/>
          </w:tcPr>
          <w:p w14:paraId="50784473">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十一、记录和报告经营情况制度（《固废法》第八十条）</w:t>
            </w:r>
          </w:p>
        </w:tc>
        <w:tc>
          <w:tcPr>
            <w:tcW w:w="2319" w:type="dxa"/>
            <w:noWrap w:val="0"/>
            <w:vAlign w:val="center"/>
          </w:tcPr>
          <w:p w14:paraId="70916BF5">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25.按照相关标准规范要求，建立危险废物管理台账，如实记载收集、贮存、利用、处置危险废物的类别、来源去向和有无事故等事项。</w:t>
            </w:r>
          </w:p>
        </w:tc>
        <w:tc>
          <w:tcPr>
            <w:tcW w:w="720" w:type="dxa"/>
            <w:noWrap w:val="0"/>
            <w:vAlign w:val="center"/>
          </w:tcPr>
          <w:p w14:paraId="386EF5B0">
            <w:pPr>
              <w:widowControl/>
              <w:adjustRightInd w:val="0"/>
              <w:snapToGrid w:val="0"/>
              <w:spacing w:line="22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w:t>
            </w:r>
          </w:p>
        </w:tc>
        <w:tc>
          <w:tcPr>
            <w:tcW w:w="710" w:type="dxa"/>
            <w:noWrap w:val="0"/>
            <w:vAlign w:val="center"/>
          </w:tcPr>
          <w:p w14:paraId="57A2B820">
            <w:pPr>
              <w:widowControl/>
              <w:adjustRightInd w:val="0"/>
              <w:snapToGrid w:val="0"/>
              <w:spacing w:line="228"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14:paraId="42C605DB">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建立了经营管理台账，能如实记载危险废物经营情况。</w:t>
            </w:r>
          </w:p>
        </w:tc>
        <w:tc>
          <w:tcPr>
            <w:tcW w:w="5120" w:type="dxa"/>
            <w:gridSpan w:val="2"/>
            <w:noWrap w:val="0"/>
            <w:vAlign w:val="center"/>
          </w:tcPr>
          <w:p w14:paraId="0190F389">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建立了经营管理台账，涵盖了危险废物详细分析记录、接收记录、利用处置记录、新产生危险废物记录（不新产生危险废物的单位除外）、内部检查记录、设施运行及环境监测记录、人员培训记录、事故记录和报告、应急预案演练记录等9项内容，且如实记载危险废物经营情况，数据准确。得5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2.记录簿涵盖的内容每缺失1项或数据每错误1处，扣1分。最多扣5分。</w:t>
            </w:r>
          </w:p>
          <w:p w14:paraId="40B62A37">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3.未建立经营管理台账。得0分。</w:t>
            </w:r>
          </w:p>
        </w:tc>
        <w:tc>
          <w:tcPr>
            <w:tcW w:w="2266" w:type="dxa"/>
            <w:noWrap w:val="0"/>
            <w:vAlign w:val="center"/>
          </w:tcPr>
          <w:p w14:paraId="2FB14551">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查阅相关资料（查看危险废物经营管理台账；依据转移联单抽查若干批危险废物的经营记录情况）</w:t>
            </w:r>
          </w:p>
        </w:tc>
        <w:tc>
          <w:tcPr>
            <w:tcW w:w="705" w:type="dxa"/>
            <w:noWrap w:val="0"/>
            <w:vAlign w:val="center"/>
          </w:tcPr>
          <w:p w14:paraId="38E77D35">
            <w:pPr>
              <w:widowControl/>
              <w:adjustRightInd w:val="0"/>
              <w:snapToGrid w:val="0"/>
              <w:jc w:val="left"/>
              <w:rPr>
                <w:rFonts w:hint="default" w:ascii="Times New Roman" w:hAnsi="Times New Roman" w:eastAsia="楷体_GB2312" w:cs="Times New Roman"/>
                <w:spacing w:val="-4"/>
                <w:kern w:val="0"/>
                <w:sz w:val="24"/>
                <w:szCs w:val="24"/>
              </w:rPr>
            </w:pPr>
          </w:p>
        </w:tc>
      </w:tr>
      <w:tr w14:paraId="3554F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1058" w:type="dxa"/>
            <w:vMerge w:val="continue"/>
            <w:noWrap w:val="0"/>
            <w:vAlign w:val="center"/>
          </w:tcPr>
          <w:p w14:paraId="3E1AC255">
            <w:pPr>
              <w:widowControl/>
              <w:adjustRightInd w:val="0"/>
              <w:snapToGrid w:val="0"/>
              <w:spacing w:line="228" w:lineRule="auto"/>
              <w:rPr>
                <w:rFonts w:hint="default" w:ascii="Times New Roman" w:hAnsi="Times New Roman" w:eastAsia="楷体_GB2312" w:cs="Times New Roman"/>
                <w:spacing w:val="-4"/>
                <w:kern w:val="0"/>
                <w:sz w:val="24"/>
                <w:szCs w:val="24"/>
              </w:rPr>
            </w:pPr>
          </w:p>
        </w:tc>
        <w:tc>
          <w:tcPr>
            <w:tcW w:w="2319" w:type="dxa"/>
            <w:noWrap w:val="0"/>
            <w:vAlign w:val="center"/>
          </w:tcPr>
          <w:p w14:paraId="7E638848">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26.通过国家危险废物信息管理系统如实申报危险废物收集、贮存、利用、处置活动情况。</w:t>
            </w:r>
          </w:p>
        </w:tc>
        <w:tc>
          <w:tcPr>
            <w:tcW w:w="720" w:type="dxa"/>
            <w:noWrap w:val="0"/>
            <w:vAlign w:val="center"/>
          </w:tcPr>
          <w:p w14:paraId="4A491CF7">
            <w:pPr>
              <w:widowControl/>
              <w:adjustRightInd w:val="0"/>
              <w:snapToGrid w:val="0"/>
              <w:spacing w:line="22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w:t>
            </w:r>
          </w:p>
        </w:tc>
        <w:tc>
          <w:tcPr>
            <w:tcW w:w="710" w:type="dxa"/>
            <w:noWrap w:val="0"/>
            <w:vAlign w:val="center"/>
          </w:tcPr>
          <w:p w14:paraId="3949A647">
            <w:pPr>
              <w:widowControl/>
              <w:adjustRightInd w:val="0"/>
              <w:snapToGrid w:val="0"/>
              <w:spacing w:line="228"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14:paraId="53B46E0A">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按时通过国家危险废物信息管理系统如实申报危险废物经营情况。</w:t>
            </w:r>
          </w:p>
        </w:tc>
        <w:tc>
          <w:tcPr>
            <w:tcW w:w="5120" w:type="dxa"/>
            <w:gridSpan w:val="2"/>
            <w:noWrap w:val="0"/>
            <w:vAlign w:val="center"/>
          </w:tcPr>
          <w:p w14:paraId="54255B2E">
            <w:pPr>
              <w:widowControl/>
              <w:adjustRightInd w:val="0"/>
              <w:snapToGrid w:val="0"/>
              <w:spacing w:line="22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1.按要求通过国家危险废物信息管理系统如实申报危险废物收集、贮存、利用、处置活动情况，数据真实可靠，可提供相应的证明材料。得2分。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2.未按时通过国家危险废物信息管理系统如实申报危险废物收集、贮存、利用、处置活动情况，或存在虚报、漏报、瞒报等情况。得0分。</w:t>
            </w:r>
          </w:p>
        </w:tc>
        <w:tc>
          <w:tcPr>
            <w:tcW w:w="2266" w:type="dxa"/>
            <w:noWrap w:val="0"/>
            <w:vAlign w:val="center"/>
          </w:tcPr>
          <w:p w14:paraId="69AD1D58">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查阅相关资料（查看近3年危险废物经营情况报告）</w:t>
            </w:r>
          </w:p>
        </w:tc>
        <w:tc>
          <w:tcPr>
            <w:tcW w:w="705" w:type="dxa"/>
            <w:noWrap w:val="0"/>
            <w:vAlign w:val="center"/>
          </w:tcPr>
          <w:p w14:paraId="70A132C4">
            <w:pPr>
              <w:widowControl/>
              <w:adjustRightInd w:val="0"/>
              <w:snapToGrid w:val="0"/>
              <w:jc w:val="left"/>
              <w:rPr>
                <w:rFonts w:hint="default" w:ascii="Times New Roman" w:hAnsi="Times New Roman" w:eastAsia="楷体_GB2312" w:cs="Times New Roman"/>
                <w:spacing w:val="-4"/>
                <w:kern w:val="0"/>
                <w:sz w:val="24"/>
                <w:szCs w:val="24"/>
              </w:rPr>
            </w:pPr>
          </w:p>
        </w:tc>
      </w:tr>
      <w:tr w14:paraId="20059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058" w:type="dxa"/>
            <w:vMerge w:val="continue"/>
            <w:noWrap w:val="0"/>
            <w:vAlign w:val="center"/>
          </w:tcPr>
          <w:p w14:paraId="52763186">
            <w:pPr>
              <w:widowControl/>
              <w:adjustRightInd w:val="0"/>
              <w:snapToGrid w:val="0"/>
              <w:spacing w:line="228" w:lineRule="auto"/>
              <w:rPr>
                <w:rFonts w:hint="default" w:ascii="Times New Roman" w:hAnsi="Times New Roman" w:eastAsia="楷体_GB2312" w:cs="Times New Roman"/>
                <w:spacing w:val="-4"/>
                <w:kern w:val="0"/>
                <w:sz w:val="24"/>
                <w:szCs w:val="24"/>
              </w:rPr>
            </w:pPr>
          </w:p>
        </w:tc>
        <w:tc>
          <w:tcPr>
            <w:tcW w:w="2319" w:type="dxa"/>
            <w:noWrap w:val="0"/>
            <w:vAlign w:val="center"/>
          </w:tcPr>
          <w:p w14:paraId="4C03E822">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27.将危险废物管理台账保存10年以上，以填埋方式处置危险废物的管理台账应当永久保存。</w:t>
            </w:r>
          </w:p>
        </w:tc>
        <w:tc>
          <w:tcPr>
            <w:tcW w:w="720" w:type="dxa"/>
            <w:noWrap w:val="0"/>
            <w:vAlign w:val="center"/>
          </w:tcPr>
          <w:p w14:paraId="2099CF6E">
            <w:pPr>
              <w:widowControl/>
              <w:adjustRightInd w:val="0"/>
              <w:snapToGrid w:val="0"/>
              <w:spacing w:line="228" w:lineRule="auto"/>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14:paraId="38B33676">
            <w:pPr>
              <w:widowControl/>
              <w:adjustRightInd w:val="0"/>
              <w:snapToGrid w:val="0"/>
              <w:spacing w:line="228" w:lineRule="auto"/>
              <w:jc w:val="center"/>
              <w:rPr>
                <w:rFonts w:hint="default" w:ascii="Times New Roman" w:hAnsi="Times New Roman" w:eastAsia="楷体_GB2312" w:cs="Times New Roman"/>
                <w:spacing w:val="-4"/>
                <w:kern w:val="0"/>
                <w:sz w:val="24"/>
                <w:szCs w:val="24"/>
              </w:rPr>
            </w:pPr>
          </w:p>
        </w:tc>
        <w:tc>
          <w:tcPr>
            <w:tcW w:w="1850" w:type="dxa"/>
            <w:noWrap w:val="0"/>
            <w:vAlign w:val="center"/>
          </w:tcPr>
          <w:p w14:paraId="4154F326">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符合保存时限要求。</w:t>
            </w:r>
          </w:p>
        </w:tc>
        <w:tc>
          <w:tcPr>
            <w:tcW w:w="5120" w:type="dxa"/>
            <w:gridSpan w:val="2"/>
            <w:noWrap w:val="0"/>
            <w:vAlign w:val="center"/>
          </w:tcPr>
          <w:p w14:paraId="4BF61FBC">
            <w:pPr>
              <w:widowControl/>
              <w:adjustRightInd w:val="0"/>
              <w:snapToGrid w:val="0"/>
              <w:spacing w:line="228" w:lineRule="auto"/>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1.危险废物管理台账保存10年以上（以填埋方式处置危险废物的永久保存）。得1分。</w:t>
            </w:r>
            <w:r>
              <w:rPr>
                <w:rFonts w:hint="default" w:ascii="Times New Roman" w:hAnsi="Times New Roman" w:eastAsia="楷体_GB2312" w:cs="Times New Roman"/>
                <w:spacing w:val="-4"/>
                <w:kern w:val="0"/>
                <w:sz w:val="24"/>
                <w:szCs w:val="24"/>
              </w:rPr>
              <w:br w:type="textWrapping"/>
            </w:r>
            <w:r>
              <w:rPr>
                <w:rFonts w:hint="default" w:ascii="Times New Roman" w:hAnsi="Times New Roman" w:eastAsia="楷体_GB2312" w:cs="Times New Roman"/>
                <w:spacing w:val="-4"/>
                <w:kern w:val="0"/>
                <w:sz w:val="24"/>
                <w:szCs w:val="24"/>
              </w:rPr>
              <w:t>2.危险废物管理台账未保存10年以上（以填埋方式处置危险废物的未永久保存）。得0分。</w:t>
            </w:r>
          </w:p>
        </w:tc>
        <w:tc>
          <w:tcPr>
            <w:tcW w:w="2266" w:type="dxa"/>
            <w:noWrap w:val="0"/>
            <w:vAlign w:val="center"/>
          </w:tcPr>
          <w:p w14:paraId="08A40E9D">
            <w:pPr>
              <w:widowControl/>
              <w:adjustRightInd w:val="0"/>
              <w:snapToGrid w:val="0"/>
              <w:spacing w:line="228" w:lineRule="auto"/>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查阅相关资料（查看每年度的危险废物管理台账）</w:t>
            </w:r>
          </w:p>
        </w:tc>
        <w:tc>
          <w:tcPr>
            <w:tcW w:w="705" w:type="dxa"/>
            <w:noWrap w:val="0"/>
            <w:vAlign w:val="center"/>
          </w:tcPr>
          <w:p w14:paraId="56108889">
            <w:pPr>
              <w:widowControl/>
              <w:adjustRightInd w:val="0"/>
              <w:snapToGrid w:val="0"/>
              <w:jc w:val="left"/>
              <w:rPr>
                <w:rFonts w:hint="default" w:ascii="Times New Roman" w:hAnsi="Times New Roman" w:eastAsia="楷体_GB2312" w:cs="Times New Roman"/>
                <w:spacing w:val="-4"/>
                <w:kern w:val="0"/>
                <w:sz w:val="24"/>
                <w:szCs w:val="24"/>
              </w:rPr>
            </w:pPr>
          </w:p>
        </w:tc>
      </w:tr>
      <w:tr w14:paraId="0CC7EE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058" w:type="dxa"/>
            <w:noWrap w:val="0"/>
            <w:vAlign w:val="center"/>
          </w:tcPr>
          <w:p w14:paraId="28ED5774">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十二、信息发布（《固废法》第二十九条）</w:t>
            </w:r>
          </w:p>
        </w:tc>
        <w:tc>
          <w:tcPr>
            <w:tcW w:w="2319" w:type="dxa"/>
            <w:noWrap w:val="0"/>
            <w:vAlign w:val="center"/>
          </w:tcPr>
          <w:p w14:paraId="18091987">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28.收集、利用、处置固体废物的单位，应当依法及时公开固体废物污染环境防治信息，主动接受社会监督。</w:t>
            </w:r>
          </w:p>
        </w:tc>
        <w:tc>
          <w:tcPr>
            <w:tcW w:w="720" w:type="dxa"/>
            <w:noWrap w:val="0"/>
            <w:vAlign w:val="center"/>
          </w:tcPr>
          <w:p w14:paraId="3F6CC4B3">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14:paraId="11DACB75">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14:paraId="501E3BE0">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依法及时公开危险废物污染环境防治信息。</w:t>
            </w:r>
          </w:p>
        </w:tc>
        <w:tc>
          <w:tcPr>
            <w:tcW w:w="5120" w:type="dxa"/>
            <w:gridSpan w:val="2"/>
            <w:noWrap w:val="0"/>
            <w:vAlign w:val="center"/>
          </w:tcPr>
          <w:p w14:paraId="398B67E8">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1.通过企业网站等途径依法公开当年危险废物污染环境防治信息或向公众开放设施场所。得1分。</w:t>
            </w:r>
          </w:p>
          <w:p w14:paraId="5CC42D6D">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2.未依法公开当年危险废物污染环境防治信息。得0分。</w:t>
            </w:r>
          </w:p>
        </w:tc>
        <w:tc>
          <w:tcPr>
            <w:tcW w:w="2266" w:type="dxa"/>
            <w:noWrap w:val="0"/>
            <w:vAlign w:val="center"/>
          </w:tcPr>
          <w:p w14:paraId="1A308FB5">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w:t>
            </w:r>
          </w:p>
        </w:tc>
        <w:tc>
          <w:tcPr>
            <w:tcW w:w="705" w:type="dxa"/>
            <w:noWrap w:val="0"/>
            <w:vAlign w:val="center"/>
          </w:tcPr>
          <w:p w14:paraId="5C4CBF0E">
            <w:pPr>
              <w:widowControl/>
              <w:adjustRightInd w:val="0"/>
              <w:snapToGrid w:val="0"/>
              <w:jc w:val="left"/>
              <w:rPr>
                <w:rFonts w:hint="default" w:ascii="Times New Roman" w:hAnsi="Times New Roman" w:eastAsia="楷体_GB2312" w:cs="Times New Roman"/>
                <w:spacing w:val="-4"/>
                <w:kern w:val="0"/>
                <w:sz w:val="24"/>
                <w:szCs w:val="24"/>
              </w:rPr>
            </w:pPr>
          </w:p>
        </w:tc>
      </w:tr>
      <w:tr w14:paraId="6A320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6" w:hRule="atLeast"/>
        </w:trPr>
        <w:tc>
          <w:tcPr>
            <w:tcW w:w="1058" w:type="dxa"/>
            <w:noWrap w:val="0"/>
            <w:vAlign w:val="center"/>
          </w:tcPr>
          <w:p w14:paraId="06A45169">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十三、业务培训（《危险废物经营单位记录和报告经营情况指南》，环境保护部公告 2009年第55号）</w:t>
            </w:r>
          </w:p>
        </w:tc>
        <w:tc>
          <w:tcPr>
            <w:tcW w:w="2319" w:type="dxa"/>
            <w:noWrap w:val="0"/>
            <w:vAlign w:val="center"/>
          </w:tcPr>
          <w:p w14:paraId="3BE930F8">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29.</w:t>
            </w:r>
            <w:r>
              <w:rPr>
                <w:rFonts w:hint="default" w:ascii="Times New Roman" w:hAnsi="Times New Roman" w:eastAsia="楷体_GB2312" w:cs="Times New Roman"/>
                <w:kern w:val="0"/>
                <w:sz w:val="24"/>
                <w:szCs w:val="24"/>
              </w:rPr>
              <w:t>对本单位工作人员进行培训。</w:t>
            </w:r>
          </w:p>
        </w:tc>
        <w:tc>
          <w:tcPr>
            <w:tcW w:w="720" w:type="dxa"/>
            <w:noWrap w:val="0"/>
            <w:vAlign w:val="center"/>
          </w:tcPr>
          <w:p w14:paraId="7BE6F6D9">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w:t>
            </w:r>
          </w:p>
        </w:tc>
        <w:tc>
          <w:tcPr>
            <w:tcW w:w="710" w:type="dxa"/>
            <w:noWrap w:val="0"/>
            <w:vAlign w:val="center"/>
          </w:tcPr>
          <w:p w14:paraId="1449B332">
            <w:pPr>
              <w:widowControl/>
              <w:adjustRightInd w:val="0"/>
              <w:snapToGrid w:val="0"/>
              <w:rPr>
                <w:rFonts w:hint="default" w:ascii="Times New Roman" w:hAnsi="Times New Roman" w:eastAsia="楷体_GB2312" w:cs="Times New Roman"/>
                <w:spacing w:val="-4"/>
                <w:kern w:val="0"/>
                <w:sz w:val="24"/>
                <w:szCs w:val="24"/>
              </w:rPr>
            </w:pPr>
          </w:p>
        </w:tc>
        <w:tc>
          <w:tcPr>
            <w:tcW w:w="1850" w:type="dxa"/>
            <w:noWrap w:val="0"/>
            <w:vAlign w:val="center"/>
          </w:tcPr>
          <w:p w14:paraId="7DBFEDC3">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相关管理人员和从事危险废物收集、运输、贮存、利用和处置等工作的人员掌握国家相关法律法规、规章和有关规范性文件的规定；熟悉本单位制定的危险废物管理规章制度、工作流程和应急预案等各项要求；掌握危险废物分类收集、运输、暂存、利用和处置的正确方法和操作程序。</w:t>
            </w:r>
          </w:p>
        </w:tc>
        <w:tc>
          <w:tcPr>
            <w:tcW w:w="5120" w:type="dxa"/>
            <w:gridSpan w:val="2"/>
            <w:noWrap w:val="0"/>
            <w:vAlign w:val="center"/>
          </w:tcPr>
          <w:p w14:paraId="6A2AB93D">
            <w:pPr>
              <w:widowControl/>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A.对管理人员和从事危险废物收集、运输、贮存、利用和处置等工作的人员进行了培训。</w:t>
            </w:r>
          </w:p>
          <w:p w14:paraId="5968F665">
            <w:pPr>
              <w:widowControl/>
              <w:rPr>
                <w:rFonts w:hint="default" w:ascii="Times New Roman" w:hAnsi="Times New Roman" w:eastAsia="楷体_GB2312" w:cs="Times New Roman"/>
                <w:kern w:val="0"/>
                <w:sz w:val="24"/>
                <w:szCs w:val="24"/>
              </w:rPr>
            </w:pPr>
            <w:r>
              <w:rPr>
                <w:rFonts w:hint="default" w:ascii="Times New Roman" w:hAnsi="Times New Roman" w:eastAsia="楷体_GB2312" w:cs="Times New Roman"/>
                <w:kern w:val="0"/>
                <w:sz w:val="24"/>
                <w:szCs w:val="24"/>
              </w:rPr>
              <w:t>B.参加培训人员对危险废物管理制度、相应岗位危险废物管理要求等较熟悉。</w:t>
            </w:r>
          </w:p>
          <w:p w14:paraId="01F39362">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kern w:val="0"/>
                <w:sz w:val="24"/>
                <w:szCs w:val="24"/>
              </w:rPr>
              <w:br w:type="textWrapping"/>
            </w:r>
            <w:r>
              <w:rPr>
                <w:rFonts w:hint="default" w:ascii="Times New Roman" w:hAnsi="Times New Roman" w:eastAsia="楷体_GB2312" w:cs="Times New Roman"/>
                <w:kern w:val="0"/>
                <w:sz w:val="24"/>
                <w:szCs w:val="24"/>
              </w:rPr>
              <w:t>以上每项符合得0.5分，共1分。</w:t>
            </w:r>
          </w:p>
        </w:tc>
        <w:tc>
          <w:tcPr>
            <w:tcW w:w="2266" w:type="dxa"/>
            <w:noWrap w:val="0"/>
            <w:vAlign w:val="center"/>
          </w:tcPr>
          <w:p w14:paraId="38F10290">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kern w:val="0"/>
                <w:sz w:val="24"/>
                <w:szCs w:val="24"/>
              </w:rPr>
              <w:t>资料检查（查看培训相关材料）、现场询问</w:t>
            </w:r>
          </w:p>
        </w:tc>
        <w:tc>
          <w:tcPr>
            <w:tcW w:w="705" w:type="dxa"/>
            <w:noWrap w:val="0"/>
            <w:vAlign w:val="center"/>
          </w:tcPr>
          <w:p w14:paraId="3C9F05C5">
            <w:pPr>
              <w:widowControl/>
              <w:adjustRightInd w:val="0"/>
              <w:snapToGrid w:val="0"/>
              <w:jc w:val="left"/>
              <w:rPr>
                <w:rFonts w:hint="default" w:ascii="Times New Roman" w:hAnsi="Times New Roman" w:eastAsia="楷体_GB2312" w:cs="Times New Roman"/>
                <w:spacing w:val="-4"/>
                <w:kern w:val="0"/>
                <w:sz w:val="24"/>
                <w:szCs w:val="24"/>
              </w:rPr>
            </w:pPr>
          </w:p>
        </w:tc>
      </w:tr>
      <w:tr w14:paraId="7AF7F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77" w:type="dxa"/>
            <w:gridSpan w:val="2"/>
            <w:noWrap w:val="0"/>
            <w:vAlign w:val="center"/>
          </w:tcPr>
          <w:p w14:paraId="1B84FD58">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合计</w:t>
            </w:r>
          </w:p>
        </w:tc>
        <w:tc>
          <w:tcPr>
            <w:tcW w:w="720" w:type="dxa"/>
            <w:noWrap w:val="0"/>
            <w:vAlign w:val="center"/>
          </w:tcPr>
          <w:p w14:paraId="0BD75E5B">
            <w:pPr>
              <w:widowControl/>
              <w:adjustRightInd w:val="0"/>
              <w:snapToGrid w:val="0"/>
              <w:jc w:val="center"/>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70</w:t>
            </w:r>
          </w:p>
        </w:tc>
        <w:tc>
          <w:tcPr>
            <w:tcW w:w="710" w:type="dxa"/>
            <w:noWrap w:val="0"/>
            <w:vAlign w:val="center"/>
          </w:tcPr>
          <w:p w14:paraId="59FA0DAA">
            <w:pPr>
              <w:widowControl/>
              <w:adjustRightInd w:val="0"/>
              <w:snapToGrid w:val="0"/>
              <w:jc w:val="center"/>
              <w:rPr>
                <w:rFonts w:hint="default" w:ascii="Times New Roman" w:hAnsi="Times New Roman" w:eastAsia="楷体_GB2312" w:cs="Times New Roman"/>
                <w:spacing w:val="-4"/>
                <w:kern w:val="0"/>
                <w:sz w:val="24"/>
                <w:szCs w:val="24"/>
              </w:rPr>
            </w:pPr>
          </w:p>
        </w:tc>
        <w:tc>
          <w:tcPr>
            <w:tcW w:w="9941" w:type="dxa"/>
            <w:gridSpan w:val="5"/>
            <w:noWrap w:val="0"/>
            <w:vAlign w:val="center"/>
          </w:tcPr>
          <w:p w14:paraId="71DA820E">
            <w:pPr>
              <w:widowControl/>
              <w:adjustRightInd w:val="0"/>
              <w:snapToGrid w:val="0"/>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w:t>
            </w:r>
          </w:p>
        </w:tc>
      </w:tr>
      <w:tr w14:paraId="183AC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58" w:type="dxa"/>
            <w:noWrap w:val="0"/>
            <w:vAlign w:val="center"/>
          </w:tcPr>
          <w:p w14:paraId="3F617DC3">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加分项</w:t>
            </w:r>
          </w:p>
        </w:tc>
        <w:tc>
          <w:tcPr>
            <w:tcW w:w="10719" w:type="dxa"/>
            <w:gridSpan w:val="6"/>
            <w:noWrap w:val="0"/>
            <w:vAlign w:val="center"/>
          </w:tcPr>
          <w:p w14:paraId="4E7EE22B">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A.在危险废物相关重点环节和关键节点应用视频监控的，加0.5分；在危险废物相关重点环节和关键节点应用电子标签的，加0.5分。</w:t>
            </w:r>
          </w:p>
          <w:p w14:paraId="72531733">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B.投保环境污染责任保险的，加1分。</w:t>
            </w:r>
          </w:p>
        </w:tc>
        <w:tc>
          <w:tcPr>
            <w:tcW w:w="2266" w:type="dxa"/>
            <w:noWrap w:val="0"/>
            <w:vAlign w:val="center"/>
          </w:tcPr>
          <w:p w14:paraId="6E42A835">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查阅相关资料、现场核查</w:t>
            </w:r>
          </w:p>
        </w:tc>
        <w:tc>
          <w:tcPr>
            <w:tcW w:w="705" w:type="dxa"/>
            <w:noWrap w:val="0"/>
            <w:vAlign w:val="center"/>
          </w:tcPr>
          <w:p w14:paraId="3B66628F">
            <w:pPr>
              <w:widowControl/>
              <w:adjustRightInd w:val="0"/>
              <w:snapToGrid w:val="0"/>
              <w:jc w:val="left"/>
              <w:rPr>
                <w:rFonts w:hint="default" w:ascii="Times New Roman" w:hAnsi="Times New Roman" w:eastAsia="楷体_GB2312" w:cs="Times New Roman"/>
                <w:spacing w:val="-4"/>
                <w:kern w:val="0"/>
                <w:sz w:val="24"/>
                <w:szCs w:val="24"/>
              </w:rPr>
            </w:pPr>
          </w:p>
        </w:tc>
      </w:tr>
      <w:tr w14:paraId="0C3C5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058" w:type="dxa"/>
            <w:noWrap w:val="0"/>
            <w:vAlign w:val="center"/>
          </w:tcPr>
          <w:p w14:paraId="7DE49249">
            <w:pPr>
              <w:widowControl/>
              <w:adjustRightInd w:val="0"/>
              <w:snapToGrid w:val="0"/>
              <w:jc w:val="left"/>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否决项</w:t>
            </w:r>
          </w:p>
        </w:tc>
        <w:tc>
          <w:tcPr>
            <w:tcW w:w="10719" w:type="dxa"/>
            <w:gridSpan w:val="6"/>
            <w:noWrap w:val="0"/>
            <w:vAlign w:val="center"/>
          </w:tcPr>
          <w:p w14:paraId="268AE42B">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A.无许可证或者不按照许可证规定超数量、超范围从事危险废物收集、贮存、利用、处置经营活动的。</w:t>
            </w:r>
          </w:p>
          <w:p w14:paraId="6B11CD9C">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B.将危险废物（收集/利用/处置环节豁免的除外）提供或者委托给无许可证的单位或者其他生产经营者从事收集、贮存、利用、处置活动的。</w:t>
            </w:r>
          </w:p>
          <w:p w14:paraId="49862AAC">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C.由于危险废物管理不当导致突发环境事件发生的。</w:t>
            </w:r>
          </w:p>
          <w:p w14:paraId="384FE69B">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D.擅自转移、倾倒、堆放危险废物的。</w:t>
            </w:r>
          </w:p>
          <w:p w14:paraId="20826C30">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E.执行台账和申报制度存在不报或虚报、瞒报危险废物的。</w:t>
            </w:r>
          </w:p>
        </w:tc>
        <w:tc>
          <w:tcPr>
            <w:tcW w:w="2266" w:type="dxa"/>
            <w:noWrap w:val="0"/>
            <w:vAlign w:val="center"/>
          </w:tcPr>
          <w:p w14:paraId="736903F4">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现场核查</w:t>
            </w:r>
          </w:p>
        </w:tc>
        <w:tc>
          <w:tcPr>
            <w:tcW w:w="705" w:type="dxa"/>
            <w:noWrap w:val="0"/>
            <w:vAlign w:val="center"/>
          </w:tcPr>
          <w:p w14:paraId="5D7B3FCA">
            <w:pPr>
              <w:widowControl/>
              <w:adjustRightInd w:val="0"/>
              <w:snapToGrid w:val="0"/>
              <w:jc w:val="left"/>
              <w:rPr>
                <w:rFonts w:hint="default" w:ascii="Times New Roman" w:hAnsi="Times New Roman" w:eastAsia="楷体_GB2312" w:cs="Times New Roman"/>
                <w:spacing w:val="-4"/>
                <w:kern w:val="0"/>
                <w:sz w:val="24"/>
                <w:szCs w:val="24"/>
              </w:rPr>
            </w:pPr>
          </w:p>
        </w:tc>
      </w:tr>
      <w:tr w14:paraId="4829D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77" w:type="dxa"/>
            <w:gridSpan w:val="2"/>
            <w:noWrap w:val="0"/>
            <w:vAlign w:val="center"/>
          </w:tcPr>
          <w:p w14:paraId="4D1CEB2C">
            <w:pPr>
              <w:widowControl/>
              <w:adjustRightInd w:val="0"/>
              <w:snapToGrid w:val="0"/>
              <w:jc w:val="center"/>
              <w:rPr>
                <w:rFonts w:hint="default" w:ascii="Times New Roman" w:hAnsi="Times New Roman" w:eastAsia="楷体_GB2312" w:cs="Times New Roman"/>
                <w:b/>
                <w:bCs/>
                <w:spacing w:val="-4"/>
                <w:kern w:val="0"/>
                <w:sz w:val="24"/>
                <w:szCs w:val="24"/>
              </w:rPr>
            </w:pPr>
            <w:r>
              <w:rPr>
                <w:rFonts w:hint="default" w:ascii="Times New Roman" w:hAnsi="Times New Roman" w:eastAsia="楷体_GB2312" w:cs="Times New Roman"/>
                <w:b/>
                <w:bCs/>
                <w:spacing w:val="-4"/>
                <w:kern w:val="0"/>
                <w:sz w:val="24"/>
                <w:szCs w:val="24"/>
              </w:rPr>
              <w:t>评估得分</w:t>
            </w:r>
          </w:p>
        </w:tc>
        <w:tc>
          <w:tcPr>
            <w:tcW w:w="3674" w:type="dxa"/>
            <w:gridSpan w:val="4"/>
            <w:noWrap w:val="0"/>
            <w:vAlign w:val="center"/>
          </w:tcPr>
          <w:p w14:paraId="24988005">
            <w:pPr>
              <w:widowControl/>
              <w:adjustRightInd w:val="0"/>
              <w:snapToGrid w:val="0"/>
              <w:rPr>
                <w:rFonts w:hint="default" w:ascii="Times New Roman" w:hAnsi="Times New Roman" w:eastAsia="楷体_GB2312" w:cs="Times New Roman"/>
                <w:spacing w:val="-4"/>
                <w:kern w:val="0"/>
                <w:sz w:val="24"/>
                <w:szCs w:val="24"/>
              </w:rPr>
            </w:pPr>
          </w:p>
        </w:tc>
        <w:tc>
          <w:tcPr>
            <w:tcW w:w="7697" w:type="dxa"/>
            <w:gridSpan w:val="3"/>
            <w:noWrap w:val="0"/>
            <w:vAlign w:val="center"/>
          </w:tcPr>
          <w:p w14:paraId="7E4EEF97">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b/>
                <w:bCs/>
                <w:spacing w:val="-4"/>
                <w:kern w:val="0"/>
                <w:sz w:val="24"/>
                <w:szCs w:val="24"/>
              </w:rPr>
              <w:t>评估结果：达标□基本达标□不达标□</w:t>
            </w:r>
          </w:p>
        </w:tc>
      </w:tr>
      <w:tr w14:paraId="2E036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14748" w:type="dxa"/>
            <w:gridSpan w:val="9"/>
            <w:noWrap w:val="0"/>
            <w:vAlign w:val="center"/>
          </w:tcPr>
          <w:p w14:paraId="6E9BB522">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说明：</w:t>
            </w:r>
          </w:p>
          <w:p w14:paraId="368ED3EA">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1.工作组应当至少包括2名具有环境执法证件的人员，可邀请专家参与检查。</w:t>
            </w:r>
          </w:p>
          <w:p w14:paraId="0C1313A6">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2.评估人员要做好记录并签字。</w:t>
            </w:r>
          </w:p>
          <w:p w14:paraId="4521BAFA">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3.对危险废物流向、贮存、利用、处置等信息，要核查原始凭证。</w:t>
            </w:r>
          </w:p>
          <w:p w14:paraId="34F60C66">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4.根据评分要点给出得分。</w:t>
            </w:r>
          </w:p>
          <w:p w14:paraId="4F5236AA">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5.备注栏可对评估情况进行简要记录。</w:t>
            </w:r>
          </w:p>
          <w:p w14:paraId="7E02A825">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6.评估内容不适用的，计为0分，并将该项分值从满分中扣除后，按比例换算达标、基本达标、不达标界值。</w:t>
            </w:r>
          </w:p>
          <w:p w14:paraId="6A1263FD">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7.加分项目以当年是否开展为准。</w:t>
            </w:r>
          </w:p>
          <w:p w14:paraId="5951830A">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8.否决项，即该项不得分，则评估结果为不达标。</w:t>
            </w:r>
          </w:p>
          <w:p w14:paraId="7682EE5A">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9.评估结果：</w:t>
            </w:r>
          </w:p>
          <w:p w14:paraId="7EE58BDF">
            <w:pPr>
              <w:widowControl/>
              <w:adjustRightInd w:val="0"/>
              <w:snapToGrid w:val="0"/>
              <w:rPr>
                <w:rFonts w:hint="default" w:ascii="Times New Roman" w:hAnsi="Times New Roman" w:eastAsia="楷体_GB2312" w:cs="Times New Roman"/>
                <w:spacing w:val="-4"/>
                <w:kern w:val="0"/>
                <w:sz w:val="24"/>
                <w:szCs w:val="24"/>
              </w:rPr>
            </w:pPr>
            <w:r>
              <w:rPr>
                <w:rFonts w:hint="default" w:ascii="Times New Roman" w:hAnsi="Times New Roman" w:eastAsia="楷体_GB2312" w:cs="Times New Roman"/>
                <w:spacing w:val="-4"/>
                <w:kern w:val="0"/>
                <w:sz w:val="24"/>
                <w:szCs w:val="24"/>
              </w:rPr>
              <w:t>满分为70分，56（含）-70分为达标，42（含）-56分为基本达标，42分以下为不达标。</w:t>
            </w:r>
          </w:p>
        </w:tc>
      </w:tr>
    </w:tbl>
    <w:p w14:paraId="48F4BE5D">
      <w:pPr>
        <w:adjustRightInd w:val="0"/>
        <w:snapToGrid w:val="0"/>
        <w:jc w:val="left"/>
        <w:rPr>
          <w:rFonts w:ascii="黑体" w:hAnsi="黑体" w:eastAsia="黑体"/>
          <w:sz w:val="30"/>
        </w:rPr>
      </w:pPr>
      <w:r>
        <w:rPr>
          <w:kern w:val="0"/>
        </w:rPr>
        <w:br w:type="page"/>
      </w:r>
      <w:r>
        <w:rPr>
          <w:rFonts w:hint="eastAsia" w:ascii="黑体" w:hAnsi="黑体" w:eastAsia="黑体"/>
          <w:sz w:val="32"/>
        </w:rPr>
        <w:t>附件</w:t>
      </w:r>
      <w:r>
        <w:rPr>
          <w:rFonts w:ascii="黑体" w:hAnsi="黑体" w:eastAsia="黑体"/>
          <w:sz w:val="32"/>
        </w:rPr>
        <w:t>2</w:t>
      </w:r>
    </w:p>
    <w:p w14:paraId="4E9A0F9B">
      <w:pPr>
        <w:adjustRightInd w:val="0"/>
        <w:snapToGrid w:val="0"/>
        <w:spacing w:line="408" w:lineRule="auto"/>
        <w:jc w:val="left"/>
        <w:rPr>
          <w:rFonts w:ascii="黑体" w:hAnsi="黑体" w:eastAsia="黑体"/>
          <w:sz w:val="32"/>
          <w:szCs w:val="32"/>
        </w:rPr>
      </w:pPr>
    </w:p>
    <w:p w14:paraId="37C83761">
      <w:pPr>
        <w:autoSpaceDE w:val="0"/>
        <w:autoSpaceDN w:val="0"/>
        <w:adjustRightInd w:val="0"/>
        <w:snapToGrid w:val="0"/>
        <w:jc w:val="center"/>
        <w:rPr>
          <w:rFonts w:hint="eastAsia" w:ascii="方正小标宋_GBK" w:eastAsia="方正小标宋_GBK"/>
          <w:spacing w:val="16"/>
          <w:kern w:val="0"/>
          <w:sz w:val="38"/>
          <w:szCs w:val="38"/>
        </w:rPr>
      </w:pPr>
      <w:r>
        <w:rPr>
          <w:rFonts w:hint="eastAsia" w:ascii="方正小标宋_GBK" w:eastAsia="方正小标宋_GBK"/>
          <w:spacing w:val="16"/>
          <w:kern w:val="0"/>
          <w:sz w:val="38"/>
          <w:szCs w:val="38"/>
        </w:rPr>
        <w:t>被抽查单位评估情况记录表</w:t>
      </w:r>
    </w:p>
    <w:p w14:paraId="0FBC8236">
      <w:pPr>
        <w:adjustRightInd w:val="0"/>
        <w:snapToGrid w:val="0"/>
        <w:spacing w:line="408" w:lineRule="auto"/>
        <w:jc w:val="left"/>
        <w:rPr>
          <w:rFonts w:ascii="黑体" w:hAnsi="黑体" w:eastAsia="黑体"/>
          <w:sz w:val="32"/>
          <w:szCs w:val="32"/>
        </w:rPr>
      </w:pPr>
    </w:p>
    <w:tbl>
      <w:tblPr>
        <w:tblStyle w:val="5"/>
        <w:tblW w:w="148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05"/>
        <w:gridCol w:w="1215"/>
        <w:gridCol w:w="1410"/>
        <w:gridCol w:w="2407"/>
        <w:gridCol w:w="3100"/>
        <w:gridCol w:w="2295"/>
        <w:gridCol w:w="738"/>
        <w:gridCol w:w="1350"/>
      </w:tblGrid>
      <w:tr w14:paraId="74DBA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0" w:type="dxa"/>
            <w:noWrap w:val="0"/>
            <w:vAlign w:val="center"/>
          </w:tcPr>
          <w:p w14:paraId="34B704BC">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序号</w:t>
            </w:r>
          </w:p>
        </w:tc>
        <w:tc>
          <w:tcPr>
            <w:tcW w:w="1605" w:type="dxa"/>
            <w:noWrap w:val="0"/>
            <w:vAlign w:val="center"/>
          </w:tcPr>
          <w:p w14:paraId="11737E84">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单位名称</w:t>
            </w:r>
          </w:p>
        </w:tc>
        <w:tc>
          <w:tcPr>
            <w:tcW w:w="1215" w:type="dxa"/>
            <w:noWrap w:val="0"/>
            <w:vAlign w:val="center"/>
          </w:tcPr>
          <w:p w14:paraId="12C9C0C6">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评估时间</w:t>
            </w:r>
          </w:p>
        </w:tc>
        <w:tc>
          <w:tcPr>
            <w:tcW w:w="1410" w:type="dxa"/>
            <w:noWrap w:val="0"/>
            <w:vAlign w:val="center"/>
          </w:tcPr>
          <w:p w14:paraId="1E1D3C57">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单位类型</w:t>
            </w:r>
          </w:p>
        </w:tc>
        <w:tc>
          <w:tcPr>
            <w:tcW w:w="2407" w:type="dxa"/>
            <w:noWrap w:val="0"/>
            <w:vAlign w:val="center"/>
          </w:tcPr>
          <w:p w14:paraId="45ACF110">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单位基本情况</w:t>
            </w:r>
          </w:p>
        </w:tc>
        <w:tc>
          <w:tcPr>
            <w:tcW w:w="3100" w:type="dxa"/>
            <w:noWrap w:val="0"/>
            <w:vAlign w:val="center"/>
          </w:tcPr>
          <w:p w14:paraId="5C7F6695">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危险废物产生情况</w:t>
            </w:r>
          </w:p>
        </w:tc>
        <w:tc>
          <w:tcPr>
            <w:tcW w:w="2295" w:type="dxa"/>
            <w:noWrap w:val="0"/>
            <w:vAlign w:val="center"/>
          </w:tcPr>
          <w:p w14:paraId="74F32B47">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评估发现的问题</w:t>
            </w:r>
          </w:p>
        </w:tc>
        <w:tc>
          <w:tcPr>
            <w:tcW w:w="738" w:type="dxa"/>
            <w:noWrap w:val="0"/>
            <w:vAlign w:val="center"/>
          </w:tcPr>
          <w:p w14:paraId="7E27A375">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备注</w:t>
            </w:r>
          </w:p>
        </w:tc>
        <w:tc>
          <w:tcPr>
            <w:tcW w:w="1350" w:type="dxa"/>
            <w:noWrap w:val="0"/>
            <w:vAlign w:val="center"/>
          </w:tcPr>
          <w:p w14:paraId="547CFC05">
            <w:pPr>
              <w:widowControl/>
              <w:adjustRightInd w:val="0"/>
              <w:snapToGrid w:val="0"/>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评估人员</w:t>
            </w:r>
          </w:p>
        </w:tc>
      </w:tr>
      <w:tr w14:paraId="7BB3A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0" w:type="dxa"/>
            <w:noWrap w:val="0"/>
            <w:vAlign w:val="center"/>
          </w:tcPr>
          <w:p w14:paraId="77BAF17A">
            <w:pPr>
              <w:widowControl/>
              <w:adjustRightInd w:val="0"/>
              <w:snapToGrid w:val="0"/>
              <w:jc w:val="center"/>
              <w:rPr>
                <w:rFonts w:hint="eastAsia" w:ascii="楷体_GB2312" w:hAnsi="楷体_GB2312" w:eastAsia="楷体_GB2312" w:cs="楷体_GB2312"/>
                <w:sz w:val="24"/>
                <w:szCs w:val="24"/>
              </w:rPr>
            </w:pPr>
          </w:p>
        </w:tc>
        <w:tc>
          <w:tcPr>
            <w:tcW w:w="1605" w:type="dxa"/>
            <w:noWrap w:val="0"/>
            <w:vAlign w:val="center"/>
          </w:tcPr>
          <w:p w14:paraId="2D76C004">
            <w:pPr>
              <w:widowControl/>
              <w:adjustRightInd w:val="0"/>
              <w:snapToGrid w:val="0"/>
              <w:jc w:val="center"/>
              <w:rPr>
                <w:rFonts w:hint="eastAsia" w:ascii="楷体_GB2312" w:hAnsi="楷体_GB2312" w:eastAsia="楷体_GB2312" w:cs="楷体_GB2312"/>
                <w:sz w:val="24"/>
                <w:szCs w:val="24"/>
              </w:rPr>
            </w:pPr>
          </w:p>
        </w:tc>
        <w:tc>
          <w:tcPr>
            <w:tcW w:w="1215" w:type="dxa"/>
            <w:noWrap w:val="0"/>
            <w:vAlign w:val="center"/>
          </w:tcPr>
          <w:p w14:paraId="32646F27">
            <w:pPr>
              <w:widowControl/>
              <w:adjustRightInd w:val="0"/>
              <w:snapToGrid w:val="0"/>
              <w:jc w:val="center"/>
              <w:rPr>
                <w:rFonts w:hint="eastAsia" w:ascii="楷体_GB2312" w:hAnsi="楷体_GB2312" w:eastAsia="楷体_GB2312" w:cs="楷体_GB2312"/>
                <w:sz w:val="24"/>
                <w:szCs w:val="24"/>
              </w:rPr>
            </w:pPr>
          </w:p>
        </w:tc>
        <w:tc>
          <w:tcPr>
            <w:tcW w:w="1410" w:type="dxa"/>
            <w:noWrap w:val="0"/>
            <w:vAlign w:val="center"/>
          </w:tcPr>
          <w:p w14:paraId="42E4AFB3">
            <w:pPr>
              <w:widowControl/>
              <w:adjustRightInd w:val="0"/>
              <w:snapToGrid w:val="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（产废单位或经营单位）</w:t>
            </w:r>
          </w:p>
        </w:tc>
        <w:tc>
          <w:tcPr>
            <w:tcW w:w="2407" w:type="dxa"/>
            <w:noWrap w:val="0"/>
            <w:vAlign w:val="center"/>
          </w:tcPr>
          <w:p w14:paraId="126AFD70">
            <w:pPr>
              <w:widowControl/>
              <w:adjustRightInd w:val="0"/>
              <w:snapToGrid w:val="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（主要产品产量，简单工艺描述）</w:t>
            </w:r>
          </w:p>
        </w:tc>
        <w:tc>
          <w:tcPr>
            <w:tcW w:w="3100" w:type="dxa"/>
            <w:noWrap w:val="0"/>
            <w:vAlign w:val="center"/>
          </w:tcPr>
          <w:p w14:paraId="26FD3D23">
            <w:pPr>
              <w:widowControl/>
              <w:adjustRightInd w:val="0"/>
              <w:snapToGrid w:val="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（危险废物种类和大致产生量）</w:t>
            </w:r>
          </w:p>
        </w:tc>
        <w:tc>
          <w:tcPr>
            <w:tcW w:w="2295" w:type="dxa"/>
            <w:noWrap w:val="0"/>
            <w:vAlign w:val="center"/>
          </w:tcPr>
          <w:p w14:paraId="72A494C0">
            <w:pPr>
              <w:widowControl/>
              <w:adjustRightInd w:val="0"/>
              <w:snapToGrid w:val="0"/>
              <w:jc w:val="center"/>
              <w:rPr>
                <w:rFonts w:hint="eastAsia" w:ascii="楷体_GB2312" w:hAnsi="楷体_GB2312" w:eastAsia="楷体_GB2312" w:cs="楷体_GB2312"/>
                <w:sz w:val="24"/>
                <w:szCs w:val="24"/>
              </w:rPr>
            </w:pPr>
          </w:p>
        </w:tc>
        <w:tc>
          <w:tcPr>
            <w:tcW w:w="738" w:type="dxa"/>
            <w:noWrap w:val="0"/>
            <w:vAlign w:val="center"/>
          </w:tcPr>
          <w:p w14:paraId="5DCF2CA1">
            <w:pPr>
              <w:widowControl/>
              <w:adjustRightInd w:val="0"/>
              <w:snapToGrid w:val="0"/>
              <w:jc w:val="center"/>
              <w:rPr>
                <w:rFonts w:hint="eastAsia" w:ascii="楷体_GB2312" w:hAnsi="楷体_GB2312" w:eastAsia="楷体_GB2312" w:cs="楷体_GB2312"/>
                <w:sz w:val="24"/>
                <w:szCs w:val="24"/>
              </w:rPr>
            </w:pPr>
          </w:p>
        </w:tc>
        <w:tc>
          <w:tcPr>
            <w:tcW w:w="1350" w:type="dxa"/>
            <w:noWrap w:val="0"/>
            <w:vAlign w:val="center"/>
          </w:tcPr>
          <w:p w14:paraId="584BB974">
            <w:pPr>
              <w:widowControl/>
              <w:adjustRightInd w:val="0"/>
              <w:snapToGrid w:val="0"/>
              <w:jc w:val="center"/>
              <w:rPr>
                <w:rFonts w:hint="eastAsia" w:ascii="楷体_GB2312" w:hAnsi="楷体_GB2312" w:eastAsia="楷体_GB2312" w:cs="楷体_GB2312"/>
                <w:sz w:val="24"/>
                <w:szCs w:val="24"/>
              </w:rPr>
            </w:pPr>
          </w:p>
        </w:tc>
      </w:tr>
      <w:tr w14:paraId="0D84B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0" w:type="dxa"/>
            <w:noWrap w:val="0"/>
            <w:vAlign w:val="center"/>
          </w:tcPr>
          <w:p w14:paraId="00341D45">
            <w:pPr>
              <w:widowControl/>
              <w:adjustRightInd w:val="0"/>
              <w:snapToGrid w:val="0"/>
              <w:jc w:val="center"/>
              <w:rPr>
                <w:rFonts w:hint="eastAsia" w:ascii="楷体_GB2312" w:hAnsi="楷体_GB2312" w:eastAsia="楷体_GB2312" w:cs="楷体_GB2312"/>
                <w:sz w:val="24"/>
                <w:szCs w:val="24"/>
              </w:rPr>
            </w:pPr>
          </w:p>
        </w:tc>
        <w:tc>
          <w:tcPr>
            <w:tcW w:w="1605" w:type="dxa"/>
            <w:noWrap w:val="0"/>
            <w:vAlign w:val="center"/>
          </w:tcPr>
          <w:p w14:paraId="205D9E4C">
            <w:pPr>
              <w:widowControl/>
              <w:adjustRightInd w:val="0"/>
              <w:snapToGrid w:val="0"/>
              <w:jc w:val="center"/>
              <w:rPr>
                <w:rFonts w:hint="eastAsia" w:ascii="楷体_GB2312" w:hAnsi="楷体_GB2312" w:eastAsia="楷体_GB2312" w:cs="楷体_GB2312"/>
                <w:sz w:val="24"/>
                <w:szCs w:val="24"/>
              </w:rPr>
            </w:pPr>
          </w:p>
        </w:tc>
        <w:tc>
          <w:tcPr>
            <w:tcW w:w="1215" w:type="dxa"/>
            <w:noWrap w:val="0"/>
            <w:vAlign w:val="center"/>
          </w:tcPr>
          <w:p w14:paraId="74D17591">
            <w:pPr>
              <w:widowControl/>
              <w:adjustRightInd w:val="0"/>
              <w:snapToGrid w:val="0"/>
              <w:jc w:val="center"/>
              <w:rPr>
                <w:rFonts w:hint="eastAsia" w:ascii="楷体_GB2312" w:hAnsi="楷体_GB2312" w:eastAsia="楷体_GB2312" w:cs="楷体_GB2312"/>
                <w:sz w:val="24"/>
                <w:szCs w:val="24"/>
              </w:rPr>
            </w:pPr>
          </w:p>
        </w:tc>
        <w:tc>
          <w:tcPr>
            <w:tcW w:w="1410" w:type="dxa"/>
            <w:noWrap w:val="0"/>
            <w:vAlign w:val="center"/>
          </w:tcPr>
          <w:p w14:paraId="2437BC81">
            <w:pPr>
              <w:widowControl/>
              <w:adjustRightInd w:val="0"/>
              <w:snapToGrid w:val="0"/>
              <w:jc w:val="center"/>
              <w:rPr>
                <w:rFonts w:hint="eastAsia" w:ascii="楷体_GB2312" w:hAnsi="楷体_GB2312" w:eastAsia="楷体_GB2312" w:cs="楷体_GB2312"/>
                <w:sz w:val="24"/>
                <w:szCs w:val="24"/>
              </w:rPr>
            </w:pPr>
          </w:p>
        </w:tc>
        <w:tc>
          <w:tcPr>
            <w:tcW w:w="2407" w:type="dxa"/>
            <w:noWrap w:val="0"/>
            <w:vAlign w:val="center"/>
          </w:tcPr>
          <w:p w14:paraId="5D8F88E9">
            <w:pPr>
              <w:widowControl/>
              <w:adjustRightInd w:val="0"/>
              <w:snapToGrid w:val="0"/>
              <w:jc w:val="center"/>
              <w:rPr>
                <w:rFonts w:hint="eastAsia" w:ascii="楷体_GB2312" w:hAnsi="楷体_GB2312" w:eastAsia="楷体_GB2312" w:cs="楷体_GB2312"/>
                <w:sz w:val="24"/>
                <w:szCs w:val="24"/>
              </w:rPr>
            </w:pPr>
          </w:p>
        </w:tc>
        <w:tc>
          <w:tcPr>
            <w:tcW w:w="3100" w:type="dxa"/>
            <w:noWrap w:val="0"/>
            <w:vAlign w:val="center"/>
          </w:tcPr>
          <w:p w14:paraId="43868248">
            <w:pPr>
              <w:widowControl/>
              <w:adjustRightInd w:val="0"/>
              <w:snapToGrid w:val="0"/>
              <w:jc w:val="center"/>
              <w:rPr>
                <w:rFonts w:hint="eastAsia" w:ascii="楷体_GB2312" w:hAnsi="楷体_GB2312" w:eastAsia="楷体_GB2312" w:cs="楷体_GB2312"/>
                <w:sz w:val="24"/>
                <w:szCs w:val="24"/>
              </w:rPr>
            </w:pPr>
          </w:p>
        </w:tc>
        <w:tc>
          <w:tcPr>
            <w:tcW w:w="2295" w:type="dxa"/>
            <w:noWrap w:val="0"/>
            <w:vAlign w:val="center"/>
          </w:tcPr>
          <w:p w14:paraId="71EAC391">
            <w:pPr>
              <w:widowControl/>
              <w:adjustRightInd w:val="0"/>
              <w:snapToGrid w:val="0"/>
              <w:jc w:val="center"/>
              <w:rPr>
                <w:rFonts w:hint="eastAsia" w:ascii="楷体_GB2312" w:hAnsi="楷体_GB2312" w:eastAsia="楷体_GB2312" w:cs="楷体_GB2312"/>
                <w:sz w:val="24"/>
                <w:szCs w:val="24"/>
              </w:rPr>
            </w:pPr>
          </w:p>
        </w:tc>
        <w:tc>
          <w:tcPr>
            <w:tcW w:w="738" w:type="dxa"/>
            <w:noWrap w:val="0"/>
            <w:vAlign w:val="center"/>
          </w:tcPr>
          <w:p w14:paraId="4A9DFC08">
            <w:pPr>
              <w:widowControl/>
              <w:adjustRightInd w:val="0"/>
              <w:snapToGrid w:val="0"/>
              <w:jc w:val="center"/>
              <w:rPr>
                <w:rFonts w:hint="eastAsia" w:ascii="楷体_GB2312" w:hAnsi="楷体_GB2312" w:eastAsia="楷体_GB2312" w:cs="楷体_GB2312"/>
                <w:sz w:val="24"/>
                <w:szCs w:val="24"/>
              </w:rPr>
            </w:pPr>
          </w:p>
        </w:tc>
        <w:tc>
          <w:tcPr>
            <w:tcW w:w="1350" w:type="dxa"/>
            <w:noWrap w:val="0"/>
            <w:vAlign w:val="center"/>
          </w:tcPr>
          <w:p w14:paraId="4D635671">
            <w:pPr>
              <w:widowControl/>
              <w:adjustRightInd w:val="0"/>
              <w:snapToGrid w:val="0"/>
              <w:jc w:val="center"/>
              <w:rPr>
                <w:rFonts w:hint="eastAsia" w:ascii="楷体_GB2312" w:hAnsi="楷体_GB2312" w:eastAsia="楷体_GB2312" w:cs="楷体_GB2312"/>
                <w:sz w:val="24"/>
                <w:szCs w:val="24"/>
              </w:rPr>
            </w:pPr>
          </w:p>
        </w:tc>
      </w:tr>
      <w:tr w14:paraId="601EA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0" w:type="dxa"/>
            <w:noWrap w:val="0"/>
            <w:vAlign w:val="center"/>
          </w:tcPr>
          <w:p w14:paraId="414BFE26">
            <w:pPr>
              <w:widowControl/>
              <w:adjustRightInd w:val="0"/>
              <w:snapToGrid w:val="0"/>
              <w:jc w:val="center"/>
              <w:rPr>
                <w:rFonts w:hint="eastAsia" w:ascii="楷体_GB2312" w:hAnsi="楷体_GB2312" w:eastAsia="楷体_GB2312" w:cs="楷体_GB2312"/>
                <w:sz w:val="24"/>
                <w:szCs w:val="24"/>
              </w:rPr>
            </w:pPr>
          </w:p>
        </w:tc>
        <w:tc>
          <w:tcPr>
            <w:tcW w:w="1605" w:type="dxa"/>
            <w:noWrap w:val="0"/>
            <w:vAlign w:val="center"/>
          </w:tcPr>
          <w:p w14:paraId="1519FDE5">
            <w:pPr>
              <w:widowControl/>
              <w:adjustRightInd w:val="0"/>
              <w:snapToGrid w:val="0"/>
              <w:jc w:val="center"/>
              <w:rPr>
                <w:rFonts w:hint="eastAsia" w:ascii="楷体_GB2312" w:hAnsi="楷体_GB2312" w:eastAsia="楷体_GB2312" w:cs="楷体_GB2312"/>
                <w:sz w:val="24"/>
                <w:szCs w:val="24"/>
              </w:rPr>
            </w:pPr>
          </w:p>
        </w:tc>
        <w:tc>
          <w:tcPr>
            <w:tcW w:w="1215" w:type="dxa"/>
            <w:noWrap w:val="0"/>
            <w:vAlign w:val="center"/>
          </w:tcPr>
          <w:p w14:paraId="1647E89E">
            <w:pPr>
              <w:widowControl/>
              <w:adjustRightInd w:val="0"/>
              <w:snapToGrid w:val="0"/>
              <w:jc w:val="center"/>
              <w:rPr>
                <w:rFonts w:hint="eastAsia" w:ascii="楷体_GB2312" w:hAnsi="楷体_GB2312" w:eastAsia="楷体_GB2312" w:cs="楷体_GB2312"/>
                <w:sz w:val="24"/>
                <w:szCs w:val="24"/>
              </w:rPr>
            </w:pPr>
          </w:p>
        </w:tc>
        <w:tc>
          <w:tcPr>
            <w:tcW w:w="1410" w:type="dxa"/>
            <w:noWrap w:val="0"/>
            <w:vAlign w:val="center"/>
          </w:tcPr>
          <w:p w14:paraId="7C0C354F">
            <w:pPr>
              <w:widowControl/>
              <w:adjustRightInd w:val="0"/>
              <w:snapToGrid w:val="0"/>
              <w:jc w:val="center"/>
              <w:rPr>
                <w:rFonts w:hint="eastAsia" w:ascii="楷体_GB2312" w:hAnsi="楷体_GB2312" w:eastAsia="楷体_GB2312" w:cs="楷体_GB2312"/>
                <w:sz w:val="24"/>
                <w:szCs w:val="24"/>
              </w:rPr>
            </w:pPr>
          </w:p>
        </w:tc>
        <w:tc>
          <w:tcPr>
            <w:tcW w:w="2407" w:type="dxa"/>
            <w:noWrap w:val="0"/>
            <w:vAlign w:val="center"/>
          </w:tcPr>
          <w:p w14:paraId="2628CC2C">
            <w:pPr>
              <w:widowControl/>
              <w:adjustRightInd w:val="0"/>
              <w:snapToGrid w:val="0"/>
              <w:jc w:val="center"/>
              <w:rPr>
                <w:rFonts w:hint="eastAsia" w:ascii="楷体_GB2312" w:hAnsi="楷体_GB2312" w:eastAsia="楷体_GB2312" w:cs="楷体_GB2312"/>
                <w:sz w:val="24"/>
                <w:szCs w:val="24"/>
              </w:rPr>
            </w:pPr>
          </w:p>
        </w:tc>
        <w:tc>
          <w:tcPr>
            <w:tcW w:w="3100" w:type="dxa"/>
            <w:noWrap w:val="0"/>
            <w:vAlign w:val="center"/>
          </w:tcPr>
          <w:p w14:paraId="24ABAC75">
            <w:pPr>
              <w:widowControl/>
              <w:adjustRightInd w:val="0"/>
              <w:snapToGrid w:val="0"/>
              <w:jc w:val="center"/>
              <w:rPr>
                <w:rFonts w:hint="eastAsia" w:ascii="楷体_GB2312" w:hAnsi="楷体_GB2312" w:eastAsia="楷体_GB2312" w:cs="楷体_GB2312"/>
                <w:sz w:val="24"/>
                <w:szCs w:val="24"/>
              </w:rPr>
            </w:pPr>
          </w:p>
        </w:tc>
        <w:tc>
          <w:tcPr>
            <w:tcW w:w="2295" w:type="dxa"/>
            <w:noWrap w:val="0"/>
            <w:vAlign w:val="center"/>
          </w:tcPr>
          <w:p w14:paraId="50961080">
            <w:pPr>
              <w:widowControl/>
              <w:adjustRightInd w:val="0"/>
              <w:snapToGrid w:val="0"/>
              <w:jc w:val="center"/>
              <w:rPr>
                <w:rFonts w:hint="eastAsia" w:ascii="楷体_GB2312" w:hAnsi="楷体_GB2312" w:eastAsia="楷体_GB2312" w:cs="楷体_GB2312"/>
                <w:sz w:val="24"/>
                <w:szCs w:val="24"/>
              </w:rPr>
            </w:pPr>
          </w:p>
        </w:tc>
        <w:tc>
          <w:tcPr>
            <w:tcW w:w="738" w:type="dxa"/>
            <w:noWrap w:val="0"/>
            <w:vAlign w:val="center"/>
          </w:tcPr>
          <w:p w14:paraId="66FD391F">
            <w:pPr>
              <w:widowControl/>
              <w:adjustRightInd w:val="0"/>
              <w:snapToGrid w:val="0"/>
              <w:jc w:val="center"/>
              <w:rPr>
                <w:rFonts w:hint="eastAsia" w:ascii="楷体_GB2312" w:hAnsi="楷体_GB2312" w:eastAsia="楷体_GB2312" w:cs="楷体_GB2312"/>
                <w:sz w:val="24"/>
                <w:szCs w:val="24"/>
              </w:rPr>
            </w:pPr>
          </w:p>
        </w:tc>
        <w:tc>
          <w:tcPr>
            <w:tcW w:w="1350" w:type="dxa"/>
            <w:noWrap w:val="0"/>
            <w:vAlign w:val="center"/>
          </w:tcPr>
          <w:p w14:paraId="391EF52C">
            <w:pPr>
              <w:widowControl/>
              <w:adjustRightInd w:val="0"/>
              <w:snapToGrid w:val="0"/>
              <w:jc w:val="center"/>
              <w:rPr>
                <w:rFonts w:hint="eastAsia" w:ascii="楷体_GB2312" w:hAnsi="楷体_GB2312" w:eastAsia="楷体_GB2312" w:cs="楷体_GB2312"/>
                <w:sz w:val="24"/>
                <w:szCs w:val="24"/>
              </w:rPr>
            </w:pPr>
          </w:p>
        </w:tc>
      </w:tr>
    </w:tbl>
    <w:p w14:paraId="33051C82">
      <w:pPr>
        <w:adjustRightInd w:val="0"/>
        <w:snapToGrid w:val="0"/>
        <w:ind w:firstLine="640" w:firstLineChars="200"/>
        <w:rPr>
          <w:rFonts w:eastAsia="仿宋_GB2312"/>
          <w:sz w:val="32"/>
        </w:rPr>
      </w:pPr>
    </w:p>
    <w:p w14:paraId="631A5A27">
      <w:pPr>
        <w:adjustRightInd w:val="0"/>
        <w:snapToGrid w:val="0"/>
        <w:ind w:firstLine="640" w:firstLineChars="200"/>
        <w:rPr>
          <w:rFonts w:eastAsia="仿宋_GB2312"/>
          <w:sz w:val="32"/>
        </w:rPr>
      </w:pPr>
    </w:p>
    <w:p w14:paraId="6BE1EBD1">
      <w:pPr>
        <w:adjustRightInd w:val="0"/>
        <w:snapToGrid w:val="0"/>
        <w:ind w:firstLine="640" w:firstLineChars="200"/>
        <w:rPr>
          <w:rFonts w:eastAsia="仿宋_GB2312"/>
          <w:sz w:val="32"/>
        </w:rPr>
        <w:sectPr>
          <w:pgSz w:w="16838" w:h="11906" w:orient="landscape"/>
          <w:pgMar w:top="1417" w:right="1134" w:bottom="1417" w:left="1134" w:header="851" w:footer="1418" w:gutter="0"/>
          <w:pgNumType w:fmt="decimal"/>
          <w:cols w:space="720" w:num="1"/>
          <w:docGrid w:type="lines" w:linePitch="312" w:charSpace="0"/>
        </w:sectPr>
      </w:pPr>
    </w:p>
    <w:p w14:paraId="50DB7FCA">
      <w:pPr>
        <w:adjustRightInd w:val="0"/>
        <w:snapToGrid w:val="0"/>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14:paraId="78C3BD8F">
      <w:pPr>
        <w:bidi w:val="0"/>
      </w:pPr>
    </w:p>
    <w:p w14:paraId="0CC5105E">
      <w:pPr>
        <w:autoSpaceDE w:val="0"/>
        <w:autoSpaceDN w:val="0"/>
        <w:adjustRightInd w:val="0"/>
        <w:jc w:val="center"/>
        <w:rPr>
          <w:rFonts w:hint="eastAsia" w:ascii="方正小标宋_GBK" w:eastAsia="方正小标宋_GBK"/>
          <w:kern w:val="0"/>
          <w:sz w:val="38"/>
          <w:szCs w:val="38"/>
        </w:rPr>
      </w:pPr>
      <w:r>
        <w:rPr>
          <w:rFonts w:hint="eastAsia" w:ascii="方正小标宋_GBK" w:eastAsia="方正小标宋_GBK"/>
          <w:kern w:val="0"/>
          <w:sz w:val="38"/>
          <w:szCs w:val="38"/>
        </w:rPr>
        <w:t>危险废物规范化环境管理评估年度工作总结要求</w:t>
      </w:r>
    </w:p>
    <w:p w14:paraId="12BDF6E7">
      <w:pPr>
        <w:autoSpaceDE w:val="0"/>
        <w:autoSpaceDN w:val="0"/>
        <w:adjustRightInd w:val="0"/>
        <w:snapToGrid w:val="0"/>
        <w:spacing w:line="408" w:lineRule="auto"/>
        <w:jc w:val="center"/>
        <w:rPr>
          <w:rFonts w:ascii="黑体" w:hAnsi="黑体" w:eastAsia="黑体"/>
          <w:kern w:val="0"/>
          <w:sz w:val="32"/>
          <w:szCs w:val="32"/>
        </w:rPr>
      </w:pPr>
    </w:p>
    <w:p w14:paraId="1BE67617">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工作总结报告应包括以下内容：</w:t>
      </w:r>
    </w:p>
    <w:p w14:paraId="04AA5A6D">
      <w:pPr>
        <w:numPr>
          <w:ilvl w:val="0"/>
          <w:numId w:val="2"/>
        </w:num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工作组织实施情况和自评打分情况，包括评估范围和内容、部门和岗位职责分工、违法企业惩罚情况、主要工作过程、时间进度、完成情况等。</w:t>
      </w:r>
    </w:p>
    <w:p w14:paraId="49938A51">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二、危险废物环境监管能力建设情况，包括危险废物环境管理信息化应用情况，源头严防、过程严管、后果严惩监管体系建设情况，</w:t>
      </w:r>
      <w:r>
        <w:rPr>
          <w:rFonts w:hint="eastAsia" w:ascii="仿宋_GB2312" w:eastAsia="仿宋_GB2312"/>
          <w:sz w:val="30"/>
          <w:szCs w:val="30"/>
          <w:lang w:eastAsia="zh-CN"/>
        </w:rPr>
        <w:t>危险废物专项整治年度任务完成情况，</w:t>
      </w:r>
      <w:r>
        <w:rPr>
          <w:rFonts w:hint="eastAsia" w:ascii="仿宋_GB2312" w:eastAsia="仿宋_GB2312"/>
          <w:sz w:val="30"/>
          <w:szCs w:val="30"/>
        </w:rPr>
        <w:t>加强监管人员和企业人员培训情况等。</w:t>
      </w:r>
    </w:p>
    <w:p w14:paraId="40BB024D">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三、危险废物利用处置能力保障情况，包括提升危险废物集中处置基础保障能力，保障危险废物和医疗废物应急处置等。</w:t>
      </w:r>
    </w:p>
    <w:p w14:paraId="2930E85F">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四、产废单位和经营单位危险废物规范化环境管理情况。</w:t>
      </w:r>
    </w:p>
    <w:p w14:paraId="0BADCF3A">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五、加分情况和扣分情况（提供相关证明材料）。</w:t>
      </w:r>
    </w:p>
    <w:p w14:paraId="67904667">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六、取得的主要经验和发现的主要问题。</w:t>
      </w:r>
    </w:p>
    <w:p w14:paraId="477112BC">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七、推进危险废物规范化环境管理的建议。</w:t>
      </w:r>
    </w:p>
    <w:p w14:paraId="47F88035">
      <w:pPr>
        <w:adjustRightInd w:val="0"/>
        <w:snapToGrid w:val="0"/>
        <w:spacing w:line="336" w:lineRule="auto"/>
        <w:ind w:firstLine="592" w:firstLineChars="200"/>
        <w:rPr>
          <w:rFonts w:hint="eastAsia" w:ascii="仿宋_GB2312" w:eastAsia="仿宋_GB2312"/>
          <w:sz w:val="30"/>
          <w:szCs w:val="30"/>
        </w:rPr>
      </w:pPr>
      <w:r>
        <w:rPr>
          <w:rFonts w:hint="eastAsia" w:ascii="仿宋_GB2312" w:eastAsia="仿宋_GB2312"/>
          <w:sz w:val="30"/>
          <w:szCs w:val="30"/>
        </w:rPr>
        <w:t>八、附件：被抽查单位评估情况记录表（见附件2），不达标和基本达标企业规范化环境管理评估结果汇总表，不达标企业存在的问题及其处理情况等。</w:t>
      </w:r>
    </w:p>
    <w:p w14:paraId="3C53E1C5"/>
    <w:sectPr>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ACBA9C-C42D-4128-9491-009153FE07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13C6825-AF87-44AC-832D-8770CC07D793}"/>
  </w:font>
  <w:font w:name="方正小标宋_GBK">
    <w:panose1 w:val="02000000000000000000"/>
    <w:charset w:val="86"/>
    <w:family w:val="auto"/>
    <w:pitch w:val="default"/>
    <w:sig w:usb0="A00002BF" w:usb1="38CF7CFA" w:usb2="00082016" w:usb3="00000000" w:csb0="00040001" w:csb1="00000000"/>
    <w:embedRegular r:id="rId3" w:fontKey="{F21A0F75-00D4-45F9-A489-9C5897B6B77E}"/>
  </w:font>
  <w:font w:name="楷体_GB2312">
    <w:panose1 w:val="02010609030101010101"/>
    <w:charset w:val="86"/>
    <w:family w:val="auto"/>
    <w:pitch w:val="default"/>
    <w:sig w:usb0="00000001" w:usb1="080E0000" w:usb2="00000000" w:usb3="00000000" w:csb0="00040000" w:csb1="00000000"/>
    <w:embedRegular r:id="rId4" w:fontKey="{CDDBC13F-B5FE-4B03-B7AB-83BBEC5EA54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2E02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6C367">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E6C367">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cs="Times New Roman"/>
      </w:rPr>
    </w:lvl>
  </w:abstractNum>
  <w:abstractNum w:abstractNumId="1">
    <w:nsid w:val="6815C95A"/>
    <w:multiLevelType w:val="singleLevel"/>
    <w:tmpl w:val="6815C95A"/>
    <w:lvl w:ilvl="0" w:tentative="0">
      <w:start w:val="2"/>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B2032"/>
    <w:rsid w:val="29EB2032"/>
    <w:rsid w:val="34F70938"/>
    <w:rsid w:val="38B63FB4"/>
    <w:rsid w:val="3B3B2ECF"/>
    <w:rsid w:val="3BF90752"/>
    <w:rsid w:val="466C0846"/>
    <w:rsid w:val="50B74A08"/>
    <w:rsid w:val="583F30AA"/>
    <w:rsid w:val="61C15873"/>
    <w:rsid w:val="789F1F87"/>
    <w:rsid w:val="79FFAB65"/>
    <w:rsid w:val="FBFEB965"/>
    <w:rsid w:val="FFFF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0"/>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29</Pages>
  <Words>18962</Words>
  <Characters>19461</Characters>
  <Lines>0</Lines>
  <Paragraphs>0</Paragraphs>
  <TotalTime>16</TotalTime>
  <ScaleCrop>false</ScaleCrop>
  <LinksUpToDate>false</LinksUpToDate>
  <CharactersWithSpaces>19507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2021-11-02T15:30:00Z</dcterms:created>
  <dc:creator>陈睿</dc:creator>
  <cp:lastModifiedBy>彭爱华</cp:lastModifiedBy>
  <dcterms:modified xsi:type="dcterms:W3CDTF">2025-05-29T07:54:28Z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eyJoZGlkIjoiMDczODQxNjI0ODEwNTVlZTg3OGNlYjRjOTQ2NzNmNWEiLCJ1c2VySWQiOiIyNjg0NzYxNjQifQ==</vt:lpwstr>
  </property>
  <property fmtid="{D5CDD505-2E9C-101B-9397-08002B2CF9AE}" pid="4" name="ICV">
    <vt:lpwstr>E8B866DBBD714DB582F5ECDC2FEC7771_12</vt:lpwstr>
  </property>
</Properties>
</file>